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8141" w14:textId="5153C4C9" w:rsidR="00C035A5" w:rsidRPr="000B2CBE" w:rsidRDefault="00C035A5" w:rsidP="00C035A5">
      <w:pPr>
        <w:jc w:val="right"/>
        <w:rPr>
          <w:color w:val="000000" w:themeColor="text1"/>
          <w:lang w:val="ro-MD"/>
        </w:rPr>
      </w:pPr>
    </w:p>
    <w:p w14:paraId="5CF39725" w14:textId="77777777" w:rsidR="00C035A5" w:rsidRPr="000B2CBE" w:rsidRDefault="00C035A5" w:rsidP="00C035A5">
      <w:pPr>
        <w:jc w:val="right"/>
        <w:rPr>
          <w:color w:val="000000" w:themeColor="text1"/>
          <w:lang w:val="ro-MD"/>
        </w:rPr>
      </w:pPr>
      <w:r w:rsidRPr="000B2CBE">
        <w:rPr>
          <w:color w:val="000000" w:themeColor="text1"/>
          <w:lang w:val="ro-MD"/>
        </w:rPr>
        <w:t>Proiect</w:t>
      </w:r>
    </w:p>
    <w:p w14:paraId="07FA3C17" w14:textId="77777777" w:rsidR="00C035A5" w:rsidRPr="000B2CBE" w:rsidRDefault="00C035A5" w:rsidP="00C035A5">
      <w:pPr>
        <w:jc w:val="right"/>
        <w:rPr>
          <w:color w:val="000000" w:themeColor="text1"/>
          <w:lang w:val="ro-MD"/>
        </w:rPr>
      </w:pPr>
    </w:p>
    <w:p w14:paraId="25DFE312" w14:textId="77777777" w:rsidR="00C035A5" w:rsidRPr="000B2CBE" w:rsidRDefault="00C035A5" w:rsidP="00C035A5">
      <w:pPr>
        <w:jc w:val="center"/>
        <w:rPr>
          <w:b/>
          <w:color w:val="000000" w:themeColor="text1"/>
          <w:lang w:val="ro-MD"/>
        </w:rPr>
      </w:pPr>
      <w:r w:rsidRPr="000B2CBE">
        <w:rPr>
          <w:b/>
          <w:color w:val="000000" w:themeColor="text1"/>
          <w:lang w:val="ro-MD"/>
        </w:rPr>
        <w:t>COMITETUL EXECUTIV</w:t>
      </w:r>
    </w:p>
    <w:p w14:paraId="19170388" w14:textId="77777777" w:rsidR="00C035A5" w:rsidRPr="000B2CBE" w:rsidRDefault="00C035A5" w:rsidP="00C035A5">
      <w:pPr>
        <w:jc w:val="center"/>
        <w:rPr>
          <w:b/>
          <w:color w:val="000000" w:themeColor="text1"/>
          <w:lang w:val="ro-MD"/>
        </w:rPr>
      </w:pPr>
      <w:r w:rsidRPr="000B2CBE">
        <w:rPr>
          <w:b/>
          <w:color w:val="000000" w:themeColor="text1"/>
          <w:lang w:val="ro-MD"/>
        </w:rPr>
        <w:t>AL BĂNCII NAȚIONALE A MOLDOVEI</w:t>
      </w:r>
    </w:p>
    <w:p w14:paraId="22EF31A7" w14:textId="77777777" w:rsidR="00C035A5" w:rsidRPr="000B2CBE" w:rsidRDefault="00C035A5" w:rsidP="00C035A5">
      <w:pPr>
        <w:jc w:val="center"/>
        <w:rPr>
          <w:b/>
          <w:color w:val="000000" w:themeColor="text1"/>
          <w:lang w:val="ro-MD"/>
        </w:rPr>
      </w:pPr>
    </w:p>
    <w:p w14:paraId="4D50A4D1" w14:textId="77777777" w:rsidR="00C035A5" w:rsidRPr="000B2CBE" w:rsidRDefault="00C035A5" w:rsidP="00C035A5">
      <w:pPr>
        <w:jc w:val="center"/>
        <w:rPr>
          <w:b/>
          <w:color w:val="000000" w:themeColor="text1"/>
          <w:lang w:val="ro-MD"/>
        </w:rPr>
      </w:pPr>
    </w:p>
    <w:p w14:paraId="29CFB4E7" w14:textId="77777777" w:rsidR="00C035A5" w:rsidRPr="000B2CBE" w:rsidRDefault="00C035A5" w:rsidP="00C035A5">
      <w:pPr>
        <w:jc w:val="center"/>
        <w:rPr>
          <w:b/>
          <w:color w:val="000000" w:themeColor="text1"/>
          <w:lang w:val="ro-MD"/>
        </w:rPr>
      </w:pPr>
      <w:r w:rsidRPr="000B2CBE">
        <w:rPr>
          <w:b/>
          <w:color w:val="000000" w:themeColor="text1"/>
          <w:lang w:val="ro-MD"/>
        </w:rPr>
        <w:t>HOTĂRÂREA nr.</w:t>
      </w:r>
    </w:p>
    <w:p w14:paraId="205BC6A1" w14:textId="12C3531D" w:rsidR="00C035A5" w:rsidRPr="000B2CBE" w:rsidRDefault="00C035A5" w:rsidP="00C035A5">
      <w:pPr>
        <w:jc w:val="center"/>
        <w:rPr>
          <w:b/>
          <w:color w:val="000000" w:themeColor="text1"/>
          <w:lang w:val="ro-MD"/>
        </w:rPr>
      </w:pPr>
      <w:r w:rsidRPr="000B2CBE">
        <w:rPr>
          <w:b/>
          <w:color w:val="000000" w:themeColor="text1"/>
          <w:lang w:val="ro-MD"/>
        </w:rPr>
        <w:t xml:space="preserve">din ___    ____________  </w:t>
      </w:r>
      <w:r w:rsidR="0067578C" w:rsidRPr="000B2CBE">
        <w:rPr>
          <w:b/>
          <w:color w:val="000000" w:themeColor="text1"/>
          <w:lang w:val="ro-MD"/>
        </w:rPr>
        <w:t>202</w:t>
      </w:r>
      <w:r w:rsidR="00223645">
        <w:rPr>
          <w:b/>
          <w:color w:val="000000" w:themeColor="text1"/>
          <w:lang w:val="ro-MD"/>
        </w:rPr>
        <w:t>6</w:t>
      </w:r>
    </w:p>
    <w:p w14:paraId="7BDFD79D" w14:textId="77777777" w:rsidR="00C035A5" w:rsidRPr="000B2CBE" w:rsidRDefault="00C035A5" w:rsidP="00C035A5">
      <w:pPr>
        <w:jc w:val="center"/>
        <w:rPr>
          <w:b/>
          <w:color w:val="000000" w:themeColor="text1"/>
          <w:lang w:val="ro-MD"/>
        </w:rPr>
      </w:pPr>
    </w:p>
    <w:p w14:paraId="555FAD07" w14:textId="08F28D72" w:rsidR="00C035A5" w:rsidRPr="000B2CBE" w:rsidRDefault="00C035A5" w:rsidP="00360518">
      <w:pPr>
        <w:jc w:val="center"/>
        <w:rPr>
          <w:b/>
          <w:color w:val="000000" w:themeColor="text1"/>
          <w:lang w:val="ro-MD"/>
        </w:rPr>
      </w:pPr>
      <w:bookmarkStart w:id="0" w:name="_Hlk163722222"/>
      <w:r w:rsidRPr="000B2CBE">
        <w:rPr>
          <w:b/>
          <w:color w:val="000000" w:themeColor="text1"/>
          <w:lang w:val="ro-MD"/>
        </w:rPr>
        <w:t xml:space="preserve">Pentru modificarea </w:t>
      </w:r>
      <w:r w:rsidR="00146EA1" w:rsidRPr="000B2CBE">
        <w:rPr>
          <w:b/>
          <w:color w:val="000000" w:themeColor="text1"/>
          <w:lang w:val="ro-MD"/>
        </w:rPr>
        <w:t>Hotărârii Comitetului executiv al Băncii Naționale a Moldovei nr.11</w:t>
      </w:r>
      <w:r w:rsidR="00360518" w:rsidRPr="000B2CBE">
        <w:rPr>
          <w:b/>
          <w:color w:val="000000" w:themeColor="text1"/>
          <w:lang w:val="ro-MD"/>
        </w:rPr>
        <w:t>2</w:t>
      </w:r>
      <w:r w:rsidR="00146EA1" w:rsidRPr="000B2CBE">
        <w:rPr>
          <w:b/>
          <w:color w:val="000000" w:themeColor="text1"/>
          <w:lang w:val="ro-MD"/>
        </w:rPr>
        <w:t xml:space="preserve">/2018 cu privire la aprobarea </w:t>
      </w:r>
      <w:r w:rsidRPr="000B2CBE">
        <w:rPr>
          <w:b/>
          <w:color w:val="000000" w:themeColor="text1"/>
          <w:lang w:val="ro-MD"/>
        </w:rPr>
        <w:t xml:space="preserve">Regulamentului </w:t>
      </w:r>
      <w:r w:rsidR="00AF3773" w:rsidRPr="000B2CBE">
        <w:rPr>
          <w:b/>
          <w:color w:val="000000" w:themeColor="text1"/>
          <w:lang w:val="ro-MD"/>
        </w:rPr>
        <w:t xml:space="preserve">cu </w:t>
      </w:r>
      <w:r w:rsidR="00360518" w:rsidRPr="000B2CBE">
        <w:rPr>
          <w:b/>
          <w:color w:val="000000" w:themeColor="text1"/>
          <w:lang w:val="ro-MD"/>
        </w:rPr>
        <w:t>privire la tehnicile de diminuare a riscului de credit utilizate de bănci</w:t>
      </w:r>
    </w:p>
    <w:bookmarkEnd w:id="0"/>
    <w:p w14:paraId="527DBD48" w14:textId="77777777" w:rsidR="00C035A5" w:rsidRPr="000B2CBE" w:rsidRDefault="00C035A5" w:rsidP="00C035A5">
      <w:pPr>
        <w:jc w:val="center"/>
        <w:rPr>
          <w:b/>
          <w:color w:val="000000" w:themeColor="text1"/>
          <w:lang w:val="ro-MD"/>
        </w:rPr>
      </w:pPr>
    </w:p>
    <w:p w14:paraId="3CD367E5" w14:textId="69C453C1" w:rsidR="00C035A5" w:rsidRPr="000B2CBE" w:rsidRDefault="00C035A5" w:rsidP="00C035A5">
      <w:pPr>
        <w:tabs>
          <w:tab w:val="left" w:pos="1134"/>
        </w:tabs>
        <w:ind w:firstLine="426"/>
        <w:jc w:val="both"/>
        <w:rPr>
          <w:color w:val="000000" w:themeColor="text1"/>
          <w:lang w:val="ro-MD" w:eastAsia="ru-RU"/>
        </w:rPr>
      </w:pPr>
      <w:r w:rsidRPr="000B2CBE">
        <w:rPr>
          <w:color w:val="000000" w:themeColor="text1"/>
          <w:lang w:val="ro-MD" w:eastAsia="ru-RU"/>
        </w:rPr>
        <w:t>În temeiul art.</w:t>
      </w:r>
      <w:r w:rsidR="00123A40" w:rsidRPr="000B2CBE">
        <w:rPr>
          <w:color w:val="000000" w:themeColor="text1"/>
          <w:lang w:val="ro-MD"/>
        </w:rPr>
        <w:t xml:space="preserve"> </w:t>
      </w:r>
      <w:r w:rsidR="0067578C" w:rsidRPr="000B2CBE">
        <w:rPr>
          <w:color w:val="000000" w:themeColor="text1"/>
          <w:lang w:val="ro-MD" w:eastAsia="ru-RU"/>
        </w:rPr>
        <w:t>6</w:t>
      </w:r>
      <w:r w:rsidR="00360518" w:rsidRPr="000B2CBE">
        <w:rPr>
          <w:color w:val="000000" w:themeColor="text1"/>
          <w:lang w:val="ro-MD" w:eastAsia="ru-RU"/>
        </w:rPr>
        <w:t>7</w:t>
      </w:r>
      <w:r w:rsidR="00123A40" w:rsidRPr="000B2CBE">
        <w:rPr>
          <w:color w:val="000000" w:themeColor="text1"/>
          <w:lang w:val="ro-MD" w:eastAsia="ru-RU"/>
        </w:rPr>
        <w:t xml:space="preserve"> </w:t>
      </w:r>
      <w:r w:rsidR="00A421A6" w:rsidRPr="000B2CBE">
        <w:rPr>
          <w:color w:val="000000" w:themeColor="text1"/>
          <w:lang w:val="ro-MD" w:eastAsia="ru-RU"/>
        </w:rPr>
        <w:t>d</w:t>
      </w:r>
      <w:r w:rsidRPr="000B2CBE">
        <w:rPr>
          <w:color w:val="000000" w:themeColor="text1"/>
          <w:lang w:val="ro-MD" w:eastAsia="ru-RU"/>
        </w:rPr>
        <w:t>in Legea nr.202</w:t>
      </w:r>
      <w:r w:rsidR="00EB3DF0" w:rsidRPr="000B2CBE">
        <w:rPr>
          <w:color w:val="000000" w:themeColor="text1"/>
          <w:lang w:val="ro-MD" w:eastAsia="ru-RU"/>
        </w:rPr>
        <w:t>/</w:t>
      </w:r>
      <w:r w:rsidRPr="000B2CBE">
        <w:rPr>
          <w:color w:val="000000" w:themeColor="text1"/>
          <w:lang w:val="ro-MD" w:eastAsia="ru-RU"/>
        </w:rPr>
        <w:t>2017 privind activitatea băncilor (Monitorul Oficial al Republicii Moldova, 2017, nr.434-439, art.727)</w:t>
      </w:r>
      <w:r w:rsidR="00BE78C6">
        <w:rPr>
          <w:color w:val="000000" w:themeColor="text1"/>
          <w:lang w:val="ro-RO" w:eastAsia="ru-RU"/>
        </w:rPr>
        <w:t xml:space="preserve">, </w:t>
      </w:r>
      <w:r w:rsidRPr="000B2CBE">
        <w:rPr>
          <w:color w:val="000000" w:themeColor="text1"/>
          <w:lang w:val="ro-MD"/>
        </w:rPr>
        <w:t xml:space="preserve">Comitetul executiv </w:t>
      </w:r>
      <w:r w:rsidRPr="000B2CBE">
        <w:rPr>
          <w:color w:val="000000" w:themeColor="text1"/>
          <w:lang w:val="ro-MD" w:eastAsia="ru-RU"/>
        </w:rPr>
        <w:t xml:space="preserve">al Băncii Naționale a Moldovei </w:t>
      </w:r>
    </w:p>
    <w:p w14:paraId="154595E2" w14:textId="77777777" w:rsidR="00C035A5" w:rsidRPr="000B2CBE" w:rsidRDefault="00C035A5" w:rsidP="00C035A5">
      <w:pPr>
        <w:tabs>
          <w:tab w:val="left" w:pos="1134"/>
        </w:tabs>
        <w:ind w:firstLine="720"/>
        <w:jc w:val="both"/>
        <w:rPr>
          <w:color w:val="000000" w:themeColor="text1"/>
          <w:lang w:val="ro-MD" w:eastAsia="ru-RU"/>
        </w:rPr>
      </w:pPr>
    </w:p>
    <w:p w14:paraId="2993C2D7" w14:textId="77777777" w:rsidR="00C035A5" w:rsidRPr="000B2CBE" w:rsidRDefault="00C035A5" w:rsidP="00C035A5">
      <w:pPr>
        <w:tabs>
          <w:tab w:val="left" w:pos="1134"/>
        </w:tabs>
        <w:ind w:firstLine="720"/>
        <w:jc w:val="both"/>
        <w:rPr>
          <w:b/>
          <w:color w:val="000000" w:themeColor="text1"/>
          <w:lang w:val="ro-MD" w:eastAsia="ru-RU"/>
        </w:rPr>
      </w:pPr>
      <w:r w:rsidRPr="000B2CBE">
        <w:rPr>
          <w:b/>
          <w:color w:val="000000" w:themeColor="text1"/>
          <w:lang w:val="ro-MD" w:eastAsia="ru-RU"/>
        </w:rPr>
        <w:t>HOTĂRĂŞTE:</w:t>
      </w:r>
    </w:p>
    <w:p w14:paraId="1FBBA749" w14:textId="77777777" w:rsidR="00CD3634" w:rsidRPr="000B2CBE" w:rsidRDefault="00CD3634" w:rsidP="00CD3634">
      <w:pPr>
        <w:tabs>
          <w:tab w:val="left" w:pos="1134"/>
        </w:tabs>
        <w:ind w:firstLine="426"/>
        <w:jc w:val="both"/>
        <w:rPr>
          <w:bCs/>
          <w:color w:val="000000" w:themeColor="text1"/>
          <w:lang w:val="ro-MD" w:eastAsia="ru-RU"/>
        </w:rPr>
      </w:pPr>
      <w:r w:rsidRPr="000B2CBE">
        <w:rPr>
          <w:bCs/>
          <w:color w:val="000000" w:themeColor="text1"/>
          <w:lang w:val="ro-MD" w:eastAsia="ru-RU"/>
        </w:rPr>
        <w:t xml:space="preserve">Prezenta Hotărâre </w:t>
      </w:r>
      <w:r w:rsidRPr="000B2CBE">
        <w:rPr>
          <w:b/>
          <w:color w:val="000000" w:themeColor="text1"/>
          <w:lang w:val="ro-MD" w:eastAsia="ru-RU"/>
        </w:rPr>
        <w:t>transpune</w:t>
      </w:r>
      <w:r w:rsidRPr="000B2CBE">
        <w:rPr>
          <w:bCs/>
          <w:color w:val="000000" w:themeColor="text1"/>
          <w:lang w:val="ro-MD" w:eastAsia="ru-RU"/>
        </w:rPr>
        <w:t xml:space="preserve"> art. 4</w:t>
      </w:r>
      <w:r>
        <w:rPr>
          <w:bCs/>
          <w:color w:val="000000" w:themeColor="text1"/>
          <w:lang w:val="ro-MD" w:eastAsia="ru-RU"/>
        </w:rPr>
        <w:t xml:space="preserve"> alin.</w:t>
      </w:r>
      <w:r w:rsidRPr="000B2CBE">
        <w:rPr>
          <w:bCs/>
          <w:color w:val="000000" w:themeColor="text1"/>
          <w:lang w:val="ro-MD" w:eastAsia="ru-RU"/>
        </w:rPr>
        <w:t xml:space="preserve"> (1) pct. (7</w:t>
      </w:r>
      <w:r>
        <w:rPr>
          <w:bCs/>
          <w:color w:val="000000" w:themeColor="text1"/>
          <w:lang w:val="ro-MD" w:eastAsia="ru-RU"/>
        </w:rPr>
        <w:t>4a</w:t>
      </w:r>
      <w:r w:rsidRPr="000B2CBE">
        <w:rPr>
          <w:bCs/>
          <w:color w:val="000000" w:themeColor="text1"/>
          <w:lang w:val="ro-MD" w:eastAsia="ru-RU"/>
        </w:rPr>
        <w:t>)</w:t>
      </w:r>
      <w:r>
        <w:rPr>
          <w:bCs/>
          <w:color w:val="000000" w:themeColor="text1"/>
          <w:lang w:val="ro-MD" w:eastAsia="ru-RU"/>
        </w:rPr>
        <w:t>,</w:t>
      </w:r>
      <w:r w:rsidRPr="000B2CBE">
        <w:rPr>
          <w:bCs/>
          <w:color w:val="000000" w:themeColor="text1"/>
          <w:lang w:val="ro-MD" w:eastAsia="ru-RU"/>
        </w:rPr>
        <w:t xml:space="preserve"> art. </w:t>
      </w:r>
      <w:r>
        <w:rPr>
          <w:bCs/>
          <w:color w:val="000000" w:themeColor="text1"/>
          <w:lang w:val="ro-MD" w:eastAsia="ru-RU"/>
        </w:rPr>
        <w:t>192-207,</w:t>
      </w:r>
      <w:r w:rsidRPr="000B2CBE">
        <w:rPr>
          <w:bCs/>
          <w:color w:val="000000" w:themeColor="text1"/>
          <w:lang w:val="ro-MD" w:eastAsia="ru-RU"/>
        </w:rPr>
        <w:t xml:space="preserve"> art. 20</w:t>
      </w:r>
      <w:r>
        <w:rPr>
          <w:bCs/>
          <w:color w:val="000000" w:themeColor="text1"/>
          <w:lang w:val="ro-MD" w:eastAsia="ru-RU"/>
        </w:rPr>
        <w:t>9-239</w:t>
      </w:r>
      <w:r w:rsidRPr="000B2CBE">
        <w:rPr>
          <w:bCs/>
          <w:color w:val="000000" w:themeColor="text1"/>
          <w:lang w:val="ro-MD" w:eastAsia="ru-RU"/>
        </w:rPr>
        <w:t xml:space="preserve"> din </w:t>
      </w:r>
      <w:r w:rsidRPr="000B2CBE">
        <w:rPr>
          <w:b/>
          <w:color w:val="000000" w:themeColor="text1"/>
          <w:lang w:val="ro-MD" w:eastAsia="ru-RU"/>
        </w:rPr>
        <w:t>Regulamentul nr. 575/2013</w:t>
      </w:r>
      <w:r w:rsidRPr="000B2CBE">
        <w:rPr>
          <w:bCs/>
          <w:color w:val="000000" w:themeColor="text1"/>
          <w:lang w:val="ro-MD" w:eastAsia="ru-RU"/>
        </w:rPr>
        <w:t xml:space="preserve"> al Parlamentului European și al Consiliului din 26 iunie 2013 privind cerințele prudențiale pentru instituțiile de credit și de modificare a Regulamentului (UE) nr. 648/2012, CELEX: 32013R0575, publicat în Jurnalul Oficial al Uniunii Europene 176 din 27 iunie 2013, astfel cum a fost modificat ultima oară prin Regulamentul (UE) 2025/1</w:t>
      </w:r>
      <w:r>
        <w:rPr>
          <w:bCs/>
          <w:color w:val="000000" w:themeColor="text1"/>
          <w:lang w:val="ro-MD" w:eastAsia="ru-RU"/>
        </w:rPr>
        <w:t>215</w:t>
      </w:r>
      <w:r w:rsidRPr="000B2CBE">
        <w:rPr>
          <w:bCs/>
          <w:color w:val="000000" w:themeColor="text1"/>
          <w:lang w:val="ro-MD" w:eastAsia="ru-RU"/>
        </w:rPr>
        <w:t xml:space="preserve"> al Parlamentului European și al Consiliului din 17 iunie 2025.</w:t>
      </w:r>
      <w:r>
        <w:rPr>
          <w:bCs/>
          <w:color w:val="000000" w:themeColor="text1"/>
          <w:lang w:val="ro-MD" w:eastAsia="ru-RU"/>
        </w:rPr>
        <w:t xml:space="preserve"> </w:t>
      </w:r>
    </w:p>
    <w:p w14:paraId="7B472B49" w14:textId="77777777" w:rsidR="00301F1A" w:rsidRPr="000B2CBE" w:rsidRDefault="00301F1A" w:rsidP="00301F1A">
      <w:pPr>
        <w:tabs>
          <w:tab w:val="left" w:pos="1134"/>
        </w:tabs>
        <w:ind w:firstLine="426"/>
        <w:jc w:val="both"/>
        <w:rPr>
          <w:b/>
          <w:color w:val="000000" w:themeColor="text1"/>
          <w:lang w:val="ro-MD" w:eastAsia="ru-RU"/>
        </w:rPr>
      </w:pPr>
    </w:p>
    <w:p w14:paraId="1FBEC95A" w14:textId="6779E427" w:rsidR="00C035A5" w:rsidRPr="000B2CBE" w:rsidRDefault="00226E79" w:rsidP="00390BFE">
      <w:pPr>
        <w:pStyle w:val="ListParagraph"/>
        <w:numPr>
          <w:ilvl w:val="0"/>
          <w:numId w:val="27"/>
        </w:numPr>
        <w:tabs>
          <w:tab w:val="left" w:pos="567"/>
          <w:tab w:val="left" w:pos="720"/>
        </w:tabs>
        <w:ind w:left="0" w:firstLine="567"/>
        <w:jc w:val="both"/>
        <w:rPr>
          <w:color w:val="000000" w:themeColor="text1"/>
          <w:lang w:val="ro-MD"/>
        </w:rPr>
      </w:pPr>
      <w:bookmarkStart w:id="1" w:name="_Hlk168992658"/>
      <w:r w:rsidRPr="000B2CBE">
        <w:rPr>
          <w:color w:val="000000" w:themeColor="text1"/>
          <w:lang w:val="ro-MD"/>
        </w:rPr>
        <w:t xml:space="preserve">Hotărârea </w:t>
      </w:r>
      <w:r w:rsidRPr="000B2CBE">
        <w:rPr>
          <w:color w:val="000000" w:themeColor="text1"/>
          <w:lang w:val="ro-MD" w:eastAsia="ru-RU"/>
        </w:rPr>
        <w:t>Comitetului executiv al Băncii Naționale a Moldovei nr.1</w:t>
      </w:r>
      <w:r w:rsidR="007C2BB2" w:rsidRPr="000B2CBE">
        <w:rPr>
          <w:color w:val="000000" w:themeColor="text1"/>
          <w:lang w:val="ro-MD" w:eastAsia="ru-RU"/>
        </w:rPr>
        <w:t>1</w:t>
      </w:r>
      <w:r w:rsidR="00360518" w:rsidRPr="000B2CBE">
        <w:rPr>
          <w:color w:val="000000" w:themeColor="text1"/>
          <w:lang w:val="ro-MD" w:eastAsia="ru-RU"/>
        </w:rPr>
        <w:t>2</w:t>
      </w:r>
      <w:r w:rsidRPr="000B2CBE">
        <w:rPr>
          <w:color w:val="000000" w:themeColor="text1"/>
          <w:lang w:val="ro-MD" w:eastAsia="ru-RU"/>
        </w:rPr>
        <w:t xml:space="preserve">/2018 </w:t>
      </w:r>
      <w:r w:rsidR="007C2BB2" w:rsidRPr="000B2CBE">
        <w:rPr>
          <w:color w:val="000000" w:themeColor="text1"/>
          <w:lang w:val="ro-MD" w:eastAsia="ru-RU"/>
        </w:rPr>
        <w:t>cu privire la aprobarea Regulamentului cu</w:t>
      </w:r>
      <w:r w:rsidR="00390BFE" w:rsidRPr="009C332D">
        <w:rPr>
          <w:color w:val="000000" w:themeColor="text1"/>
          <w:lang w:val="ro-MD"/>
        </w:rPr>
        <w:t xml:space="preserve"> </w:t>
      </w:r>
      <w:r w:rsidR="00390BFE" w:rsidRPr="000B2CBE">
        <w:rPr>
          <w:color w:val="000000" w:themeColor="text1"/>
          <w:lang w:val="ro-MD" w:eastAsia="ru-RU"/>
        </w:rPr>
        <w:t>privire la tehnicile de diminuare a riscului de credit utilizate de bănci</w:t>
      </w:r>
      <w:r w:rsidR="00123A40" w:rsidRPr="000B2CBE">
        <w:rPr>
          <w:color w:val="000000" w:themeColor="text1"/>
          <w:lang w:val="ro-MD"/>
        </w:rPr>
        <w:t xml:space="preserve">, </w:t>
      </w:r>
      <w:r w:rsidR="00646CFD" w:rsidRPr="000B2CBE">
        <w:rPr>
          <w:color w:val="000000" w:themeColor="text1"/>
          <w:lang w:val="ro-MD" w:eastAsia="ru-RU"/>
        </w:rPr>
        <w:t>(Monitorul Oficial al Republicii Moldova, 201</w:t>
      </w:r>
      <w:r w:rsidR="0067578C" w:rsidRPr="000B2CBE">
        <w:rPr>
          <w:color w:val="000000" w:themeColor="text1"/>
          <w:lang w:val="ro-MD" w:eastAsia="ru-RU"/>
        </w:rPr>
        <w:t>8</w:t>
      </w:r>
      <w:r w:rsidR="00646CFD" w:rsidRPr="000B2CBE">
        <w:rPr>
          <w:color w:val="000000" w:themeColor="text1"/>
          <w:lang w:val="ro-MD" w:eastAsia="ru-RU"/>
        </w:rPr>
        <w:t>, nr.1</w:t>
      </w:r>
      <w:r w:rsidR="0067578C" w:rsidRPr="000B2CBE">
        <w:rPr>
          <w:color w:val="000000" w:themeColor="text1"/>
          <w:lang w:val="ro-MD" w:eastAsia="ru-RU"/>
        </w:rPr>
        <w:t>83</w:t>
      </w:r>
      <w:r w:rsidR="00AB0827" w:rsidRPr="000B2CBE">
        <w:rPr>
          <w:color w:val="000000" w:themeColor="text1"/>
          <w:lang w:val="ro-MD" w:eastAsia="ru-RU"/>
        </w:rPr>
        <w:t>-</w:t>
      </w:r>
      <w:r w:rsidR="0067578C" w:rsidRPr="000B2CBE">
        <w:rPr>
          <w:color w:val="000000" w:themeColor="text1"/>
          <w:lang w:val="ro-MD" w:eastAsia="ru-RU"/>
        </w:rPr>
        <w:t>194</w:t>
      </w:r>
      <w:r w:rsidR="00646CFD" w:rsidRPr="000B2CBE">
        <w:rPr>
          <w:color w:val="000000" w:themeColor="text1"/>
          <w:lang w:val="ro-MD" w:eastAsia="ru-RU"/>
        </w:rPr>
        <w:t>, art.</w:t>
      </w:r>
      <w:r w:rsidR="0067578C" w:rsidRPr="000B2CBE">
        <w:rPr>
          <w:color w:val="000000" w:themeColor="text1"/>
          <w:lang w:val="ro-MD" w:eastAsia="ru-RU"/>
        </w:rPr>
        <w:t>9</w:t>
      </w:r>
      <w:r w:rsidR="007C2BB2" w:rsidRPr="000B2CBE">
        <w:rPr>
          <w:color w:val="000000" w:themeColor="text1"/>
          <w:lang w:val="ro-MD" w:eastAsia="ru-RU"/>
        </w:rPr>
        <w:t>0</w:t>
      </w:r>
      <w:r w:rsidR="00390BFE" w:rsidRPr="000B2CBE">
        <w:rPr>
          <w:color w:val="000000" w:themeColor="text1"/>
          <w:lang w:val="ro-MD" w:eastAsia="ru-RU"/>
        </w:rPr>
        <w:t>2</w:t>
      </w:r>
      <w:r w:rsidR="00646CFD" w:rsidRPr="000B2CBE">
        <w:rPr>
          <w:color w:val="000000" w:themeColor="text1"/>
          <w:lang w:val="ro-MD" w:eastAsia="ru-RU"/>
        </w:rPr>
        <w:t>), înregistrată la Ministerul Justiției al Republicii Moldova cu nr.</w:t>
      </w:r>
      <w:r w:rsidR="0067578C" w:rsidRPr="000B2CBE">
        <w:rPr>
          <w:color w:val="000000" w:themeColor="text1"/>
          <w:lang w:val="ro-MD" w:eastAsia="ru-RU"/>
        </w:rPr>
        <w:t>13</w:t>
      </w:r>
      <w:r w:rsidR="00390BFE" w:rsidRPr="000B2CBE">
        <w:rPr>
          <w:color w:val="000000" w:themeColor="text1"/>
          <w:lang w:val="ro-MD" w:eastAsia="ru-RU"/>
        </w:rPr>
        <w:t>29</w:t>
      </w:r>
      <w:r w:rsidR="00646CFD" w:rsidRPr="000B2CBE">
        <w:rPr>
          <w:color w:val="000000" w:themeColor="text1"/>
          <w:lang w:val="ro-MD" w:eastAsia="ru-RU"/>
        </w:rPr>
        <w:t>/201</w:t>
      </w:r>
      <w:r w:rsidR="00895950" w:rsidRPr="000B2CBE">
        <w:rPr>
          <w:color w:val="000000" w:themeColor="text1"/>
          <w:lang w:val="ro-MD" w:eastAsia="ru-RU"/>
        </w:rPr>
        <w:t>8</w:t>
      </w:r>
      <w:r w:rsidR="00646CFD" w:rsidRPr="000B2CBE">
        <w:rPr>
          <w:color w:val="000000" w:themeColor="text1"/>
          <w:lang w:val="ro-MD" w:eastAsia="ru-RU"/>
        </w:rPr>
        <w:t>, se modifică după cum urmează:</w:t>
      </w:r>
    </w:p>
    <w:bookmarkEnd w:id="1"/>
    <w:p w14:paraId="276CCD2C" w14:textId="3BC61C94" w:rsidR="005A2ADB" w:rsidRPr="000B2CBE" w:rsidRDefault="00B822F7" w:rsidP="005A2ADB">
      <w:pPr>
        <w:pStyle w:val="ListParagraph"/>
        <w:numPr>
          <w:ilvl w:val="1"/>
          <w:numId w:val="27"/>
        </w:numPr>
        <w:tabs>
          <w:tab w:val="left" w:pos="567"/>
        </w:tabs>
        <w:spacing w:before="80"/>
        <w:ind w:left="0" w:firstLine="567"/>
        <w:jc w:val="both"/>
        <w:rPr>
          <w:color w:val="000000" w:themeColor="text1"/>
          <w:lang w:val="ro-MD"/>
        </w:rPr>
      </w:pPr>
      <w:r w:rsidRPr="000B2CBE">
        <w:rPr>
          <w:color w:val="000000" w:themeColor="text1"/>
          <w:lang w:val="ro-MD"/>
        </w:rPr>
        <w:t xml:space="preserve">În clauza </w:t>
      </w:r>
      <w:r w:rsidR="00400A54" w:rsidRPr="000B2CBE">
        <w:rPr>
          <w:color w:val="000000" w:themeColor="text1"/>
          <w:lang w:val="ro-MD"/>
        </w:rPr>
        <w:t>de adoptare a</w:t>
      </w:r>
      <w:r w:rsidR="00C57A50" w:rsidRPr="000B2CBE">
        <w:rPr>
          <w:color w:val="000000" w:themeColor="text1"/>
          <w:lang w:val="ro-MD"/>
        </w:rPr>
        <w:t xml:space="preserve"> hotărârii</w:t>
      </w:r>
      <w:r w:rsidRPr="000B2CBE">
        <w:rPr>
          <w:color w:val="000000" w:themeColor="text1"/>
          <w:lang w:val="ro-MD"/>
        </w:rPr>
        <w:t>, textul „Legea nr.548-XIII din 21 iulie 1995” se substituie cu textul „Legea nr.548/1995”</w:t>
      </w:r>
      <w:r w:rsidR="00274FFD">
        <w:rPr>
          <w:color w:val="000000" w:themeColor="text1"/>
          <w:lang w:val="ro-MD"/>
        </w:rPr>
        <w:t xml:space="preserve">, </w:t>
      </w:r>
      <w:r w:rsidR="008B4DAD" w:rsidRPr="000B2CBE">
        <w:rPr>
          <w:color w:val="000000" w:themeColor="text1"/>
          <w:lang w:val="ro-MD"/>
        </w:rPr>
        <w:t xml:space="preserve">textul „Legea nr.202 din 6 octombrie 2017” se substituie cu textul </w:t>
      </w:r>
      <w:r w:rsidRPr="000B2CBE">
        <w:rPr>
          <w:color w:val="000000" w:themeColor="text1"/>
          <w:lang w:val="ro-MD"/>
        </w:rPr>
        <w:t>„Legea nr.202/2017”, iar cuvintele „și completările” se exclud;</w:t>
      </w:r>
      <w:r w:rsidR="005A2ADB" w:rsidRPr="000B2CBE">
        <w:rPr>
          <w:color w:val="000000" w:themeColor="text1"/>
          <w:lang w:val="ro-MD"/>
        </w:rPr>
        <w:t xml:space="preserve"> </w:t>
      </w:r>
    </w:p>
    <w:p w14:paraId="4F32DB46" w14:textId="641CB717" w:rsidR="00DA2B2E" w:rsidRPr="000B2CBE" w:rsidRDefault="00F9793E" w:rsidP="00F9793E">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Clauza </w:t>
      </w:r>
      <w:r w:rsidR="00DA2B2E" w:rsidRPr="000B2CBE">
        <w:rPr>
          <w:color w:val="000000" w:themeColor="text1"/>
          <w:lang w:val="ro-MD"/>
        </w:rPr>
        <w:t>de armonizare</w:t>
      </w:r>
      <w:r w:rsidRPr="000B2CBE">
        <w:rPr>
          <w:color w:val="000000" w:themeColor="text1"/>
          <w:lang w:val="ro-MD"/>
        </w:rPr>
        <w:t xml:space="preserve"> va avea următorul cuprins:</w:t>
      </w:r>
    </w:p>
    <w:p w14:paraId="6E973687" w14:textId="0533F040" w:rsidR="00F9793E" w:rsidRPr="000B2CBE" w:rsidRDefault="00F9793E" w:rsidP="00E30DC8">
      <w:pPr>
        <w:tabs>
          <w:tab w:val="left" w:pos="567"/>
        </w:tabs>
        <w:jc w:val="both"/>
        <w:rPr>
          <w:color w:val="000000" w:themeColor="text1"/>
          <w:lang w:val="ro-MD"/>
        </w:rPr>
      </w:pPr>
      <w:r w:rsidRPr="000B2CBE">
        <w:rPr>
          <w:color w:val="000000" w:themeColor="text1"/>
          <w:lang w:val="ro-MD"/>
        </w:rPr>
        <w:t xml:space="preserve">„Prezentul </w:t>
      </w:r>
      <w:r w:rsidR="00C20665" w:rsidRPr="000B2CBE">
        <w:rPr>
          <w:color w:val="000000" w:themeColor="text1"/>
          <w:lang w:val="ro-MD"/>
        </w:rPr>
        <w:t>r</w:t>
      </w:r>
      <w:r w:rsidRPr="000B2CBE">
        <w:rPr>
          <w:color w:val="000000" w:themeColor="text1"/>
          <w:lang w:val="ro-MD"/>
        </w:rPr>
        <w:t xml:space="preserve">egulament </w:t>
      </w:r>
      <w:r w:rsidRPr="000B2CBE">
        <w:rPr>
          <w:b/>
          <w:bCs/>
          <w:color w:val="000000" w:themeColor="text1"/>
          <w:lang w:val="ro-MD"/>
        </w:rPr>
        <w:t>transpune</w:t>
      </w:r>
      <w:r w:rsidR="00B95B53">
        <w:rPr>
          <w:b/>
          <w:bCs/>
          <w:color w:val="000000" w:themeColor="text1"/>
          <w:lang w:val="ro-MD"/>
        </w:rPr>
        <w:t xml:space="preserve"> </w:t>
      </w:r>
      <w:r w:rsidR="00B95B53">
        <w:rPr>
          <w:color w:val="000000" w:themeColor="text1"/>
          <w:lang w:val="ro-RO" w:eastAsia="ro-MD"/>
        </w:rPr>
        <w:t>art.4</w:t>
      </w:r>
      <w:r w:rsidR="00324CCC">
        <w:rPr>
          <w:color w:val="000000" w:themeColor="text1"/>
          <w:lang w:val="ro-RO" w:eastAsia="ro-MD"/>
        </w:rPr>
        <w:t xml:space="preserve"> alin. </w:t>
      </w:r>
      <w:r w:rsidR="00B95B53">
        <w:rPr>
          <w:color w:val="000000" w:themeColor="text1"/>
          <w:lang w:val="ro-RO" w:eastAsia="ro-MD"/>
        </w:rPr>
        <w:t>(1) pct.</w:t>
      </w:r>
      <w:r w:rsidR="00324CCC">
        <w:rPr>
          <w:color w:val="000000" w:themeColor="text1"/>
          <w:lang w:val="ro-RO" w:eastAsia="ro-MD"/>
        </w:rPr>
        <w:t xml:space="preserve"> </w:t>
      </w:r>
      <w:r w:rsidR="00B95B53">
        <w:rPr>
          <w:color w:val="000000" w:themeColor="text1"/>
          <w:lang w:val="ro-RO" w:eastAsia="ro-MD"/>
        </w:rPr>
        <w:t xml:space="preserve">74a, </w:t>
      </w:r>
      <w:r w:rsidRPr="000B2CBE">
        <w:rPr>
          <w:color w:val="000000" w:themeColor="text1"/>
          <w:lang w:val="ro-MD"/>
        </w:rPr>
        <w:t xml:space="preserve"> art.</w:t>
      </w:r>
      <w:r w:rsidR="00390BFE" w:rsidRPr="000B2CBE">
        <w:rPr>
          <w:color w:val="000000" w:themeColor="text1"/>
          <w:lang w:val="ro-MD"/>
        </w:rPr>
        <w:t>192-207</w:t>
      </w:r>
      <w:r w:rsidR="007223B7" w:rsidRPr="000B2CBE">
        <w:rPr>
          <w:color w:val="000000" w:themeColor="text1"/>
          <w:lang w:val="ro-MD"/>
        </w:rPr>
        <w:t xml:space="preserve"> </w:t>
      </w:r>
      <w:r w:rsidR="007223B7" w:rsidRPr="000B2CBE">
        <w:rPr>
          <w:color w:val="000000" w:themeColor="text1"/>
          <w:lang w:val="ro-RO"/>
        </w:rPr>
        <w:t>și art.</w:t>
      </w:r>
      <w:r w:rsidR="00390BFE" w:rsidRPr="000B2CBE">
        <w:rPr>
          <w:color w:val="000000" w:themeColor="text1"/>
          <w:lang w:val="ro-MD"/>
        </w:rPr>
        <w:t>209-2</w:t>
      </w:r>
      <w:r w:rsidR="00B46BFC">
        <w:rPr>
          <w:color w:val="000000" w:themeColor="text1"/>
          <w:lang w:val="ro-MD"/>
        </w:rPr>
        <w:t>39</w:t>
      </w:r>
      <w:r w:rsidR="00390BFE" w:rsidRPr="000B2CBE">
        <w:rPr>
          <w:color w:val="000000" w:themeColor="text1"/>
          <w:lang w:val="ro-MD"/>
        </w:rPr>
        <w:t xml:space="preserve"> </w:t>
      </w:r>
      <w:r w:rsidR="00C20665" w:rsidRPr="000B2CBE">
        <w:rPr>
          <w:color w:val="000000" w:themeColor="text1"/>
          <w:lang w:val="ro-MD"/>
        </w:rPr>
        <w:t>din</w:t>
      </w:r>
      <w:r w:rsidRPr="000B2CBE">
        <w:rPr>
          <w:color w:val="000000" w:themeColor="text1"/>
          <w:lang w:val="ro-MD"/>
        </w:rPr>
        <w:t xml:space="preserve"> </w:t>
      </w:r>
      <w:r w:rsidRPr="000B2CBE">
        <w:rPr>
          <w:b/>
          <w:bCs/>
          <w:color w:val="000000" w:themeColor="text1"/>
          <w:lang w:val="ro-MD"/>
        </w:rPr>
        <w:t>Regulamentul nr. 575/2013</w:t>
      </w:r>
      <w:r w:rsidRPr="000B2CBE">
        <w:rPr>
          <w:color w:val="000000" w:themeColor="text1"/>
          <w:lang w:val="ro-MD"/>
        </w:rPr>
        <w:t xml:space="preserve"> al Parlamentului European și al Consiliului din 26 iunie 2013 privind cerințele prudențiale pentru instituțiile de credit și de modificare a Regulamentului (UE) nr. 648/2012, CELEX: 32013R0575, publicat în Jurnalul Oficial al Uniunii Europene 176 din 27 iunie 2013, astfel cum a fost modificat ultima oară prin Regulamentul (UE) 2025/1215 al Parlamentului European și al Consiliului din 17 iunie 2025.</w:t>
      </w:r>
      <w:r w:rsidR="00AC6F4E" w:rsidRPr="000B2CBE">
        <w:rPr>
          <w:color w:val="000000" w:themeColor="text1"/>
          <w:lang w:val="ro-MD"/>
        </w:rPr>
        <w:t>”,</w:t>
      </w:r>
    </w:p>
    <w:p w14:paraId="3E3ABEB6" w14:textId="77777777" w:rsidR="00C57CEE" w:rsidRPr="000B2CBE" w:rsidRDefault="001F6D7C" w:rsidP="00313633">
      <w:pPr>
        <w:pStyle w:val="ListParagraph"/>
        <w:numPr>
          <w:ilvl w:val="1"/>
          <w:numId w:val="27"/>
        </w:numPr>
        <w:tabs>
          <w:tab w:val="left" w:pos="567"/>
        </w:tabs>
        <w:spacing w:before="80"/>
        <w:ind w:left="0" w:firstLine="567"/>
        <w:jc w:val="both"/>
        <w:rPr>
          <w:color w:val="000000" w:themeColor="text1"/>
          <w:lang w:val="ro-MD"/>
        </w:rPr>
      </w:pPr>
      <w:r w:rsidRPr="000B2CBE">
        <w:rPr>
          <w:color w:val="000000" w:themeColor="text1"/>
          <w:lang w:val="ro-MD"/>
        </w:rPr>
        <w:t>La punctul 3</w:t>
      </w:r>
      <w:r w:rsidR="00C57CEE" w:rsidRPr="000B2CBE">
        <w:rPr>
          <w:color w:val="000000" w:themeColor="text1"/>
          <w:lang w:val="ro-MD"/>
        </w:rPr>
        <w:t>:</w:t>
      </w:r>
    </w:p>
    <w:p w14:paraId="7B7C42DA" w14:textId="3494775B" w:rsidR="00C57CEE" w:rsidRPr="000B2CBE" w:rsidRDefault="008131A4" w:rsidP="00C57CEE">
      <w:pPr>
        <w:pStyle w:val="ListParagraph"/>
        <w:numPr>
          <w:ilvl w:val="2"/>
          <w:numId w:val="27"/>
        </w:numPr>
        <w:tabs>
          <w:tab w:val="left" w:pos="567"/>
        </w:tabs>
        <w:spacing w:before="80"/>
        <w:ind w:left="0" w:firstLine="567"/>
        <w:jc w:val="both"/>
        <w:rPr>
          <w:color w:val="000000" w:themeColor="text1"/>
          <w:lang w:val="ro-MD"/>
        </w:rPr>
      </w:pPr>
      <w:r w:rsidRPr="000B2CBE">
        <w:rPr>
          <w:color w:val="000000" w:themeColor="text1"/>
          <w:lang w:val="ro-MD"/>
        </w:rPr>
        <w:t>î</w:t>
      </w:r>
      <w:r w:rsidR="00C57CEE" w:rsidRPr="000B2CBE">
        <w:rPr>
          <w:color w:val="000000" w:themeColor="text1"/>
          <w:lang w:val="ro-MD"/>
        </w:rPr>
        <w:t xml:space="preserve">n </w:t>
      </w:r>
      <w:r w:rsidR="00B910C9">
        <w:rPr>
          <w:color w:val="000000" w:themeColor="text1"/>
          <w:lang w:val="ro-MD"/>
        </w:rPr>
        <w:t>partea introductivă</w:t>
      </w:r>
      <w:r w:rsidR="00C57CEE" w:rsidRPr="000B2CBE">
        <w:rPr>
          <w:color w:val="000000" w:themeColor="text1"/>
          <w:lang w:val="ro-MD"/>
        </w:rPr>
        <w:t>, textul „Legea nr.202 din 06 octombrie 2017 privind activitatea băncilor (Monitorul Oficial al Republicii Moldova, 2017, nr.434-439, art.727)” se substituie cu textul „Legea nr.202/2017 privind activitatea băncilor (în continuarea – Legea nr.202/2017);</w:t>
      </w:r>
    </w:p>
    <w:p w14:paraId="4295F1D0" w14:textId="6A10D9C5" w:rsidR="00974E10" w:rsidRPr="000B2CBE" w:rsidRDefault="00313633" w:rsidP="00C57CEE">
      <w:pPr>
        <w:pStyle w:val="ListParagraph"/>
        <w:numPr>
          <w:ilvl w:val="2"/>
          <w:numId w:val="27"/>
        </w:numPr>
        <w:tabs>
          <w:tab w:val="left" w:pos="426"/>
        </w:tabs>
        <w:spacing w:before="80"/>
        <w:ind w:left="0" w:firstLine="567"/>
        <w:jc w:val="both"/>
        <w:rPr>
          <w:color w:val="000000" w:themeColor="text1"/>
          <w:lang w:val="ro-MD"/>
        </w:rPr>
      </w:pPr>
      <w:r w:rsidRPr="000B2CBE">
        <w:rPr>
          <w:color w:val="000000" w:themeColor="text1"/>
          <w:lang w:val="ro-MD"/>
        </w:rPr>
        <w:t xml:space="preserve"> </w:t>
      </w:r>
      <w:r w:rsidR="00913598">
        <w:rPr>
          <w:color w:val="000000" w:themeColor="text1"/>
          <w:lang w:val="ro-RO"/>
        </w:rPr>
        <w:t>în ordine alfabetică</w:t>
      </w:r>
      <w:r w:rsidR="006D4DE6">
        <w:rPr>
          <w:color w:val="000000" w:themeColor="text1"/>
          <w:lang w:val="ro-RO"/>
        </w:rPr>
        <w:t>,</w:t>
      </w:r>
      <w:r w:rsidR="00E63F05" w:rsidRPr="000B2CBE">
        <w:rPr>
          <w:color w:val="000000" w:themeColor="text1"/>
          <w:lang w:val="ro-MD"/>
        </w:rPr>
        <w:t xml:space="preserve"> </w:t>
      </w:r>
      <w:r w:rsidR="001F6D7C" w:rsidRPr="000B2CBE">
        <w:rPr>
          <w:color w:val="000000" w:themeColor="text1"/>
          <w:lang w:val="ro-MD"/>
        </w:rPr>
        <w:t>se completează cu noțiun</w:t>
      </w:r>
      <w:r w:rsidR="00913598">
        <w:rPr>
          <w:color w:val="000000" w:themeColor="text1"/>
          <w:lang w:val="ro-MD"/>
        </w:rPr>
        <w:t>ile</w:t>
      </w:r>
      <w:r w:rsidR="000B68EF" w:rsidRPr="000B2CBE">
        <w:rPr>
          <w:color w:val="000000" w:themeColor="text1"/>
          <w:lang w:val="ro-MD"/>
        </w:rPr>
        <w:t xml:space="preserve"> „</w:t>
      </w:r>
      <w:r w:rsidR="000C6139" w:rsidRPr="00913598">
        <w:rPr>
          <w:color w:val="000000" w:themeColor="text1"/>
          <w:lang w:val="ro-MD"/>
        </w:rPr>
        <w:t>abordarea constând în înlocuirea parametrilor de risc pe baza A-IRB</w:t>
      </w:r>
      <w:r w:rsidR="000B68EF" w:rsidRPr="000B2CBE">
        <w:rPr>
          <w:color w:val="000000" w:themeColor="text1"/>
          <w:lang w:val="ro-MD"/>
        </w:rPr>
        <w:t xml:space="preserve">”, </w:t>
      </w:r>
      <w:r w:rsidR="00913598">
        <w:rPr>
          <w:color w:val="000000" w:themeColor="text1"/>
          <w:lang w:val="ro-RO" w:eastAsia="ro-MD"/>
        </w:rPr>
        <w:t xml:space="preserve">„valoarea bunurilor imobile”,  </w:t>
      </w:r>
      <w:r w:rsidR="000B68EF" w:rsidRPr="000B2CBE">
        <w:rPr>
          <w:color w:val="000000" w:themeColor="text1"/>
          <w:lang w:val="ro-MD"/>
        </w:rPr>
        <w:t>cu următorul cuprins</w:t>
      </w:r>
      <w:r w:rsidR="00974E10" w:rsidRPr="000B2CBE">
        <w:rPr>
          <w:color w:val="000000" w:themeColor="text1"/>
          <w:lang w:val="ro-MD"/>
        </w:rPr>
        <w:t>:</w:t>
      </w:r>
    </w:p>
    <w:p w14:paraId="0566A8F4" w14:textId="5E7C2FC3" w:rsidR="00C01BE8" w:rsidRDefault="00D90138" w:rsidP="00C57CEE">
      <w:pPr>
        <w:pStyle w:val="ListParagraph"/>
        <w:tabs>
          <w:tab w:val="left" w:pos="426"/>
        </w:tabs>
        <w:ind w:left="0"/>
        <w:jc w:val="both"/>
        <w:rPr>
          <w:color w:val="000000" w:themeColor="text1"/>
          <w:lang w:val="ro-RO" w:eastAsia="ro-MD"/>
        </w:rPr>
      </w:pPr>
      <w:r w:rsidRPr="000B2CBE">
        <w:rPr>
          <w:color w:val="000000" w:themeColor="text1"/>
          <w:lang w:val="ro-MD"/>
        </w:rPr>
        <w:t>„</w:t>
      </w:r>
      <w:r w:rsidR="009F36F9" w:rsidRPr="000B2CBE">
        <w:rPr>
          <w:i/>
          <w:iCs/>
          <w:color w:val="000000" w:themeColor="text1"/>
          <w:lang w:val="ro-RO" w:eastAsia="ro-MD"/>
        </w:rPr>
        <w:t>abordarea constând în înlocuirea parametrilor de risc pe baza A-IRB</w:t>
      </w:r>
      <w:r w:rsidR="009F36F9" w:rsidRPr="000B2CBE">
        <w:rPr>
          <w:color w:val="000000" w:themeColor="text1"/>
          <w:lang w:val="ro-RO" w:eastAsia="ro-MD"/>
        </w:rPr>
        <w:t xml:space="preserve"> - înlocuirea, în conformitate cu punctele116</w:t>
      </w:r>
      <w:r w:rsidR="009F36F9" w:rsidRPr="000B2CBE">
        <w:rPr>
          <w:color w:val="000000" w:themeColor="text1"/>
          <w:vertAlign w:val="superscript"/>
          <w:lang w:val="ro-RO" w:eastAsia="ro-MD"/>
        </w:rPr>
        <w:t>13</w:t>
      </w:r>
      <w:r w:rsidR="009F36F9" w:rsidRPr="000B2CBE">
        <w:rPr>
          <w:color w:val="000000" w:themeColor="text1"/>
          <w:lang w:val="ro-RO" w:eastAsia="ro-MD"/>
        </w:rPr>
        <w:t>-116</w:t>
      </w:r>
      <w:r w:rsidR="009F36F9" w:rsidRPr="000B2CBE">
        <w:rPr>
          <w:color w:val="000000" w:themeColor="text1"/>
          <w:vertAlign w:val="superscript"/>
          <w:lang w:val="ro-RO" w:eastAsia="ro-MD"/>
        </w:rPr>
        <w:t>17</w:t>
      </w:r>
      <w:r w:rsidR="009F36F9" w:rsidRPr="000B2CBE">
        <w:rPr>
          <w:color w:val="000000" w:themeColor="text1"/>
          <w:lang w:val="ro-RO" w:eastAsia="ro-MD"/>
        </w:rPr>
        <w:t>, a parametrilor de risc PD și LGD aferenți expunerii-suport cu PD și LGD corespunzătoare care ar fi atribuite în cadrul abordării bazate pe modele interne de rating (</w:t>
      </w:r>
      <w:r w:rsidR="00474111">
        <w:rPr>
          <w:color w:val="000000" w:themeColor="text1"/>
          <w:lang w:val="ro-RO" w:eastAsia="ro-MD"/>
        </w:rPr>
        <w:t xml:space="preserve">în </w:t>
      </w:r>
      <w:r w:rsidR="00474111">
        <w:rPr>
          <w:color w:val="000000" w:themeColor="text1"/>
          <w:lang w:val="ro-RO" w:eastAsia="ro-MD"/>
        </w:rPr>
        <w:lastRenderedPageBreak/>
        <w:t xml:space="preserve">continuare- </w:t>
      </w:r>
      <w:r w:rsidR="009F36F9" w:rsidRPr="000B2CBE">
        <w:rPr>
          <w:color w:val="000000" w:themeColor="text1"/>
          <w:lang w:val="ro-RO" w:eastAsia="ro-MD"/>
        </w:rPr>
        <w:t>IRB), utilizând propriile estimări ale LGD, unei expuneri directe comparabile față de furnizorul de protecție.</w:t>
      </w:r>
    </w:p>
    <w:p w14:paraId="4788A398" w14:textId="1C21C025" w:rsidR="00D90138" w:rsidRPr="00C01BE8" w:rsidRDefault="00C01BE8" w:rsidP="006D4DE6">
      <w:pPr>
        <w:pStyle w:val="ListParagraph"/>
        <w:tabs>
          <w:tab w:val="left" w:pos="0"/>
        </w:tabs>
        <w:ind w:left="0"/>
        <w:contextualSpacing w:val="0"/>
        <w:jc w:val="both"/>
        <w:rPr>
          <w:color w:val="000000" w:themeColor="text1"/>
          <w:lang w:val="ro-MD"/>
        </w:rPr>
      </w:pPr>
      <w:r>
        <w:rPr>
          <w:color w:val="000000" w:themeColor="text1"/>
          <w:lang w:val="ro-RO" w:eastAsia="ro-MD"/>
        </w:rPr>
        <w:t xml:space="preserve"> </w:t>
      </w:r>
      <w:r w:rsidRPr="007A7822">
        <w:rPr>
          <w:i/>
          <w:iCs/>
          <w:color w:val="000000" w:themeColor="text1"/>
          <w:lang w:val="ro-RO" w:eastAsia="ro-MD"/>
        </w:rPr>
        <w:t>valoarea bunurilor imobile</w:t>
      </w:r>
      <w:r w:rsidRPr="007A7822">
        <w:rPr>
          <w:color w:val="000000" w:themeColor="text1"/>
          <w:lang w:val="ro-RO" w:eastAsia="ro-MD"/>
        </w:rPr>
        <w:t xml:space="preserve"> </w:t>
      </w:r>
      <w:r>
        <w:rPr>
          <w:color w:val="000000" w:themeColor="text1"/>
          <w:lang w:val="ro-RO" w:eastAsia="ro-MD"/>
        </w:rPr>
        <w:t>-</w:t>
      </w:r>
      <w:r w:rsidRPr="007A7822">
        <w:rPr>
          <w:color w:val="000000" w:themeColor="text1"/>
          <w:lang w:val="ro-RO" w:eastAsia="ro-MD"/>
        </w:rPr>
        <w:t xml:space="preserve"> valoarea unui bun imobil locativ sau a unui bun imobil comercial determinată în conformitate cu </w:t>
      </w:r>
      <w:r>
        <w:rPr>
          <w:color w:val="000000" w:themeColor="text1"/>
          <w:lang w:val="ro-RO" w:eastAsia="ro-MD"/>
        </w:rPr>
        <w:t>punctele 107</w:t>
      </w:r>
      <w:r w:rsidRPr="007A7822">
        <w:rPr>
          <w:color w:val="000000" w:themeColor="text1"/>
          <w:vertAlign w:val="superscript"/>
          <w:lang w:val="ro-RO" w:eastAsia="ro-MD"/>
        </w:rPr>
        <w:t>1</w:t>
      </w:r>
      <w:r>
        <w:rPr>
          <w:color w:val="000000" w:themeColor="text1"/>
          <w:lang w:val="ro-RO" w:eastAsia="ro-MD"/>
        </w:rPr>
        <w:t>-107</w:t>
      </w:r>
      <w:r w:rsidRPr="007A7822">
        <w:rPr>
          <w:color w:val="000000" w:themeColor="text1"/>
          <w:vertAlign w:val="superscript"/>
          <w:lang w:val="ro-RO" w:eastAsia="ro-MD"/>
        </w:rPr>
        <w:t>3</w:t>
      </w:r>
      <w:r w:rsidR="00313633" w:rsidRPr="00C01BE8">
        <w:rPr>
          <w:color w:val="000000" w:themeColor="text1"/>
          <w:lang w:val="ro-RO" w:eastAsia="ro-MD"/>
        </w:rPr>
        <w:t>.</w:t>
      </w:r>
      <w:r>
        <w:rPr>
          <w:color w:val="000000" w:themeColor="text1"/>
          <w:lang w:val="ro-RO" w:eastAsia="ro-MD"/>
        </w:rPr>
        <w:t>”.</w:t>
      </w:r>
    </w:p>
    <w:p w14:paraId="332FD3C8" w14:textId="1BD575FF" w:rsidR="003D2278" w:rsidRPr="000B2CBE" w:rsidRDefault="003D2278"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La punctul </w:t>
      </w:r>
      <w:r w:rsidR="00313633" w:rsidRPr="000B2CBE">
        <w:rPr>
          <w:color w:val="000000" w:themeColor="text1"/>
          <w:lang w:val="ro-MD"/>
        </w:rPr>
        <w:t>4</w:t>
      </w:r>
      <w:r w:rsidR="00274FFD">
        <w:rPr>
          <w:color w:val="000000" w:themeColor="text1"/>
          <w:lang w:val="ro-MD"/>
        </w:rPr>
        <w:t>,</w:t>
      </w:r>
      <w:r w:rsidRPr="000B2CBE">
        <w:rPr>
          <w:color w:val="000000" w:themeColor="text1"/>
          <w:lang w:val="ro-MD"/>
        </w:rPr>
        <w:t xml:space="preserve"> </w:t>
      </w:r>
      <w:r w:rsidR="00313633" w:rsidRPr="000B2CBE">
        <w:rPr>
          <w:color w:val="000000" w:themeColor="text1"/>
          <w:lang w:val="ro-MD"/>
        </w:rPr>
        <w:t>după textul</w:t>
      </w:r>
      <w:r w:rsidRPr="000B2CBE">
        <w:rPr>
          <w:color w:val="000000" w:themeColor="text1"/>
          <w:lang w:val="ro-MD"/>
        </w:rPr>
        <w:t xml:space="preserve"> „</w:t>
      </w:r>
      <w:r w:rsidR="00313633" w:rsidRPr="000B2CBE">
        <w:rPr>
          <w:color w:val="000000" w:themeColor="text1"/>
          <w:lang w:val="ro-MD"/>
        </w:rPr>
        <w:t>(în continuare - Regulamentul nr.111/2018)”</w:t>
      </w:r>
      <w:r w:rsidRPr="000B2CBE">
        <w:rPr>
          <w:color w:val="000000" w:themeColor="text1"/>
          <w:lang w:val="ro-MD"/>
        </w:rPr>
        <w:t xml:space="preserve"> se completează cu </w:t>
      </w:r>
      <w:r w:rsidR="004D47EB" w:rsidRPr="000B2CBE">
        <w:rPr>
          <w:color w:val="000000" w:themeColor="text1"/>
          <w:lang w:val="ro-MD"/>
        </w:rPr>
        <w:t>textul</w:t>
      </w:r>
      <w:r w:rsidRPr="000B2CBE">
        <w:rPr>
          <w:color w:val="000000" w:themeColor="text1"/>
          <w:lang w:val="ro-MD"/>
        </w:rPr>
        <w:t xml:space="preserve"> „</w:t>
      </w:r>
      <w:r w:rsidR="004D47EB" w:rsidRPr="000B2CBE">
        <w:rPr>
          <w:color w:val="000000" w:themeColor="text1"/>
          <w:lang w:val="ro-MD"/>
        </w:rPr>
        <w:t>și pentru cazul în care aplică abordarea IRB în temeiul actului normativ al Băncii Naționale a Moldovei aferent tratamentului riscului de credit pentru bănci potrivit abordării bazate pe modele interne de rating (IRB)</w:t>
      </w:r>
      <w:r w:rsidRPr="000B2CBE">
        <w:rPr>
          <w:color w:val="000000" w:themeColor="text1"/>
          <w:lang w:val="ro-MD"/>
        </w:rPr>
        <w:t>”.</w:t>
      </w:r>
    </w:p>
    <w:p w14:paraId="08F768DB" w14:textId="3B0978BF" w:rsidR="007417B9" w:rsidRPr="000B2CBE" w:rsidRDefault="003D2278"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w:t>
      </w:r>
      <w:r w:rsidR="007B0AFF" w:rsidRPr="000B2CBE">
        <w:rPr>
          <w:color w:val="000000" w:themeColor="text1"/>
          <w:lang w:val="ro-MD"/>
        </w:rPr>
        <w:t>unctul 6</w:t>
      </w:r>
      <w:r w:rsidR="00274FFD">
        <w:rPr>
          <w:color w:val="000000" w:themeColor="text1"/>
          <w:lang w:val="ro-MD"/>
        </w:rPr>
        <w:t>,</w:t>
      </w:r>
      <w:r w:rsidR="004D47EB" w:rsidRPr="000B2CBE">
        <w:rPr>
          <w:color w:val="000000" w:themeColor="text1"/>
          <w:lang w:val="ro-MD"/>
        </w:rPr>
        <w:t xml:space="preserve"> după textul „Regulamentului nr.111/2018” se completează cu textul „sau actului normativ al Băncii Naționale a Moldovei aferent tratamentului riscului de credit pentru bănci potrivit abordării IRB, după caz,”.</w:t>
      </w:r>
    </w:p>
    <w:p w14:paraId="4138DD61" w14:textId="492AA195" w:rsidR="007E133D" w:rsidRPr="000B2CBE" w:rsidRDefault="007E133D"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La punctul </w:t>
      </w:r>
      <w:r w:rsidR="004D47EB" w:rsidRPr="000B2CBE">
        <w:rPr>
          <w:color w:val="000000" w:themeColor="text1"/>
          <w:lang w:val="ro-MD"/>
        </w:rPr>
        <w:t>7</w:t>
      </w:r>
      <w:r w:rsidRPr="000B2CBE">
        <w:rPr>
          <w:color w:val="000000" w:themeColor="text1"/>
          <w:lang w:val="ro-MD"/>
        </w:rPr>
        <w:t>:</w:t>
      </w:r>
    </w:p>
    <w:p w14:paraId="1575701E" w14:textId="02AB6878" w:rsidR="007E133D" w:rsidRPr="000B2CBE" w:rsidRDefault="004D47EB" w:rsidP="00F64E3B">
      <w:pPr>
        <w:pStyle w:val="ListParagraph"/>
        <w:numPr>
          <w:ilvl w:val="2"/>
          <w:numId w:val="27"/>
        </w:numPr>
        <w:tabs>
          <w:tab w:val="left" w:pos="567"/>
        </w:tabs>
        <w:ind w:left="0" w:firstLine="567"/>
        <w:jc w:val="both"/>
        <w:rPr>
          <w:color w:val="000000" w:themeColor="text1"/>
          <w:lang w:val="ro-MD"/>
        </w:rPr>
      </w:pPr>
      <w:r w:rsidRPr="000B2CBE">
        <w:rPr>
          <w:color w:val="000000" w:themeColor="text1"/>
          <w:lang w:val="ro-MD"/>
        </w:rPr>
        <w:t xml:space="preserve">După cuvintele „potrivit abordării standardizate” se completează cu cuvintele </w:t>
      </w:r>
      <w:r w:rsidR="007E133D" w:rsidRPr="000B2CBE">
        <w:rPr>
          <w:color w:val="000000" w:themeColor="text1"/>
          <w:lang w:val="ro-MD"/>
        </w:rPr>
        <w:t>„</w:t>
      </w:r>
      <w:r w:rsidRPr="000B2CBE">
        <w:rPr>
          <w:color w:val="000000" w:themeColor="text1"/>
          <w:lang w:val="ro-MD"/>
        </w:rPr>
        <w:t>și calculul cuantumurilor ponderate la risc ale expunerilor și al cuantumurilor pierderilor așteptate potrivit abordării IRB</w:t>
      </w:r>
      <w:r w:rsidR="007E133D" w:rsidRPr="000B2CBE">
        <w:rPr>
          <w:color w:val="000000" w:themeColor="text1"/>
          <w:lang w:val="ro-MD"/>
        </w:rPr>
        <w:t>”;</w:t>
      </w:r>
    </w:p>
    <w:p w14:paraId="585DDF90" w14:textId="50BBF222" w:rsidR="007E133D" w:rsidRPr="000B2CBE" w:rsidRDefault="004D47EB" w:rsidP="00FE32A6">
      <w:pPr>
        <w:pStyle w:val="ListParagraph"/>
        <w:numPr>
          <w:ilvl w:val="2"/>
          <w:numId w:val="27"/>
        </w:numPr>
        <w:tabs>
          <w:tab w:val="left" w:pos="567"/>
        </w:tabs>
        <w:ind w:left="0" w:firstLine="567"/>
        <w:jc w:val="both"/>
        <w:rPr>
          <w:color w:val="000000" w:themeColor="text1"/>
          <w:lang w:val="ro-MD"/>
        </w:rPr>
      </w:pPr>
      <w:r w:rsidRPr="000B2CBE">
        <w:rPr>
          <w:color w:val="000000" w:themeColor="text1"/>
          <w:lang w:val="ro-MD"/>
        </w:rPr>
        <w:t>textul</w:t>
      </w:r>
      <w:r w:rsidR="007E133D" w:rsidRPr="000B2CBE">
        <w:rPr>
          <w:color w:val="000000" w:themeColor="text1"/>
          <w:lang w:val="ro-MD"/>
        </w:rPr>
        <w:t xml:space="preserve"> </w:t>
      </w:r>
      <w:r w:rsidR="007C6084" w:rsidRPr="000B2CBE">
        <w:rPr>
          <w:color w:val="000000" w:themeColor="text1"/>
          <w:lang w:val="ro-MD"/>
        </w:rPr>
        <w:t>„</w:t>
      </w:r>
      <w:r w:rsidRPr="000B2CBE">
        <w:rPr>
          <w:color w:val="000000" w:themeColor="text1"/>
          <w:lang w:val="ro-MD"/>
        </w:rPr>
        <w:t>și VI</w:t>
      </w:r>
      <w:r w:rsidR="007E133D" w:rsidRPr="000B2CBE">
        <w:rPr>
          <w:color w:val="000000" w:themeColor="text1"/>
          <w:lang w:val="ro-MD"/>
        </w:rPr>
        <w:t>”</w:t>
      </w:r>
      <w:r w:rsidR="007C6084" w:rsidRPr="000B2CBE">
        <w:rPr>
          <w:color w:val="000000" w:themeColor="text1"/>
          <w:lang w:val="ro-MD"/>
        </w:rPr>
        <w:t xml:space="preserve"> se </w:t>
      </w:r>
      <w:r w:rsidRPr="000B2CBE">
        <w:rPr>
          <w:color w:val="000000" w:themeColor="text1"/>
          <w:lang w:val="ro-MD"/>
        </w:rPr>
        <w:t>exclude</w:t>
      </w:r>
      <w:r w:rsidR="007E133D" w:rsidRPr="000B2CBE">
        <w:rPr>
          <w:color w:val="000000" w:themeColor="text1"/>
          <w:lang w:val="ro-MD"/>
        </w:rPr>
        <w:t>;</w:t>
      </w:r>
    </w:p>
    <w:p w14:paraId="58503B1A" w14:textId="4BA02003" w:rsidR="003A1338" w:rsidRPr="000B2CBE" w:rsidRDefault="00961330"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punct</w:t>
      </w:r>
      <w:r w:rsidR="00555117" w:rsidRPr="000B2CBE">
        <w:rPr>
          <w:color w:val="000000" w:themeColor="text1"/>
          <w:lang w:val="ro-MD"/>
        </w:rPr>
        <w:t>ele</w:t>
      </w:r>
      <w:r w:rsidRPr="000B2CBE">
        <w:rPr>
          <w:color w:val="000000" w:themeColor="text1"/>
          <w:lang w:val="ro-MD"/>
        </w:rPr>
        <w:t xml:space="preserve"> </w:t>
      </w:r>
      <w:r w:rsidR="00555117" w:rsidRPr="000B2CBE">
        <w:rPr>
          <w:color w:val="000000" w:themeColor="text1"/>
          <w:lang w:val="ro-MD"/>
        </w:rPr>
        <w:t>9 și 10</w:t>
      </w:r>
      <w:r w:rsidR="00274FFD">
        <w:rPr>
          <w:color w:val="000000" w:themeColor="text1"/>
          <w:lang w:val="ro-MD"/>
        </w:rPr>
        <w:t>,</w:t>
      </w:r>
      <w:r w:rsidR="00A40A05" w:rsidRPr="000B2CBE">
        <w:rPr>
          <w:color w:val="000000" w:themeColor="text1"/>
          <w:lang w:val="ro-MD"/>
        </w:rPr>
        <w:t xml:space="preserve"> </w:t>
      </w:r>
      <w:r w:rsidR="00555117" w:rsidRPr="000B2CBE">
        <w:rPr>
          <w:color w:val="000000" w:themeColor="text1"/>
          <w:lang w:val="ro-MD"/>
        </w:rPr>
        <w:t>după cuvintele</w:t>
      </w:r>
      <w:r w:rsidR="003E6D65" w:rsidRPr="000B2CBE">
        <w:rPr>
          <w:color w:val="000000" w:themeColor="text1"/>
          <w:lang w:val="ro-MD"/>
        </w:rPr>
        <w:t xml:space="preserve"> </w:t>
      </w:r>
      <w:r w:rsidR="00A40A05" w:rsidRPr="000B2CBE">
        <w:rPr>
          <w:color w:val="000000" w:themeColor="text1"/>
          <w:lang w:val="ro-MD"/>
        </w:rPr>
        <w:t>„</w:t>
      </w:r>
      <w:r w:rsidR="00555117" w:rsidRPr="000B2CBE">
        <w:rPr>
          <w:color w:val="000000" w:themeColor="text1"/>
          <w:lang w:val="ro-MD"/>
        </w:rPr>
        <w:t>În cazul în care o bancă</w:t>
      </w:r>
      <w:r w:rsidR="00A40A05" w:rsidRPr="000B2CBE">
        <w:rPr>
          <w:color w:val="000000" w:themeColor="text1"/>
          <w:lang w:val="ro-MD"/>
        </w:rPr>
        <w:t xml:space="preserve">” se </w:t>
      </w:r>
      <w:r w:rsidR="00555117" w:rsidRPr="000B2CBE">
        <w:rPr>
          <w:color w:val="000000" w:themeColor="text1"/>
          <w:lang w:val="ro-MD"/>
        </w:rPr>
        <w:t xml:space="preserve">completează cu textul </w:t>
      </w:r>
      <w:r w:rsidR="00A40A05" w:rsidRPr="000B2CBE">
        <w:rPr>
          <w:color w:val="000000" w:themeColor="text1"/>
          <w:lang w:val="ro-MD"/>
        </w:rPr>
        <w:t>„</w:t>
      </w:r>
      <w:r w:rsidR="00D21CCF">
        <w:rPr>
          <w:color w:val="000000" w:themeColor="text1"/>
          <w:lang w:val="ro-MD"/>
        </w:rPr>
        <w:t xml:space="preserve"> </w:t>
      </w:r>
      <w:r w:rsidR="00555117" w:rsidRPr="000B2CBE">
        <w:rPr>
          <w:color w:val="000000" w:themeColor="text1"/>
          <w:lang w:val="ro-MD"/>
        </w:rPr>
        <w:t>, care calculează cuantumurile ponderate la risc ale expunerilor conform abordării standardizate,</w:t>
      </w:r>
      <w:r w:rsidR="006E3480" w:rsidRPr="000B2CBE">
        <w:rPr>
          <w:color w:val="000000" w:themeColor="text1"/>
          <w:lang w:val="ro-MD"/>
        </w:rPr>
        <w:t>”.</w:t>
      </w:r>
      <w:bookmarkStart w:id="2" w:name="_Hlk78366134"/>
    </w:p>
    <w:p w14:paraId="0BD0089F" w14:textId="2C8AC75B" w:rsidR="008C1C06" w:rsidRPr="000B2CBE" w:rsidRDefault="008C1C06"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Se completează cu punctul </w:t>
      </w:r>
      <w:r w:rsidR="00576F53" w:rsidRPr="000B2CBE">
        <w:rPr>
          <w:color w:val="000000" w:themeColor="text1"/>
          <w:lang w:val="ro-MD"/>
        </w:rPr>
        <w:t>10</w:t>
      </w:r>
      <w:r w:rsidRPr="000B2CBE">
        <w:rPr>
          <w:color w:val="000000" w:themeColor="text1"/>
          <w:vertAlign w:val="superscript"/>
          <w:lang w:val="ro-MD"/>
        </w:rPr>
        <w:t>1</w:t>
      </w:r>
      <w:r w:rsidRPr="000B2CBE">
        <w:rPr>
          <w:color w:val="000000" w:themeColor="text1"/>
          <w:lang w:val="ro-MD"/>
        </w:rPr>
        <w:t xml:space="preserve"> cu următorul cuprins:</w:t>
      </w:r>
      <w:r w:rsidRPr="000B2CBE">
        <w:rPr>
          <w:color w:val="000000" w:themeColor="text1"/>
        </w:rPr>
        <w:t xml:space="preserve"> </w:t>
      </w:r>
    </w:p>
    <w:p w14:paraId="41C8CB91" w14:textId="5678C9FC" w:rsidR="008C1C06" w:rsidRPr="000B2CBE" w:rsidRDefault="008C1C06" w:rsidP="00674AD3">
      <w:pPr>
        <w:tabs>
          <w:tab w:val="left" w:pos="567"/>
        </w:tabs>
        <w:jc w:val="both"/>
        <w:rPr>
          <w:color w:val="000000" w:themeColor="text1"/>
          <w:lang w:val="ro-MD"/>
        </w:rPr>
      </w:pPr>
      <w:r w:rsidRPr="000B2CBE">
        <w:rPr>
          <w:color w:val="000000" w:themeColor="text1"/>
          <w:lang w:val="ro-MD"/>
        </w:rPr>
        <w:t>„</w:t>
      </w:r>
      <w:r w:rsidR="00576F53" w:rsidRPr="000B2CBE">
        <w:rPr>
          <w:b/>
          <w:bCs/>
          <w:color w:val="000000" w:themeColor="text1"/>
          <w:lang w:val="ro-MD"/>
        </w:rPr>
        <w:t>10</w:t>
      </w:r>
      <w:r w:rsidRPr="000B2CBE">
        <w:rPr>
          <w:b/>
          <w:bCs/>
          <w:color w:val="000000" w:themeColor="text1"/>
          <w:vertAlign w:val="superscript"/>
          <w:lang w:val="ro-MD"/>
        </w:rPr>
        <w:t>1</w:t>
      </w:r>
      <w:r w:rsidRPr="000B2CBE">
        <w:rPr>
          <w:b/>
          <w:bCs/>
          <w:color w:val="000000" w:themeColor="text1"/>
          <w:lang w:val="ro-MD"/>
        </w:rPr>
        <w:t>.</w:t>
      </w:r>
      <w:r w:rsidRPr="000B2CBE">
        <w:rPr>
          <w:color w:val="000000" w:themeColor="text1"/>
          <w:lang w:val="ro-MD"/>
        </w:rPr>
        <w:t xml:space="preserve"> </w:t>
      </w:r>
      <w:r w:rsidR="00576F53" w:rsidRPr="000B2CBE">
        <w:rPr>
          <w:color w:val="000000" w:themeColor="text1"/>
          <w:lang w:val="ro-RO" w:eastAsia="ro-MD"/>
        </w:rPr>
        <w:t>Garanțiile reale care îndeplinesc toate cerințele de eligibilitate prevăzute în prezentul regulament pot fi recunoscute chiar și în cazul expunerilor asociate facilităților netrase, în cazul în care tragerea în cadrul facilității este condiționată de achiziționarea sau primirea, în prealabil sau simultan, a unor garanții reale pe măsura interesului băncii asupra garanției reale odată ce facilitatea este trasă, astfel încât banca nu are niciun drept asupra garanției reale în măsura în care facilitatea nu este trasă</w:t>
      </w:r>
      <w:r w:rsidRPr="000B2CBE">
        <w:rPr>
          <w:color w:val="000000" w:themeColor="text1"/>
          <w:lang w:val="ro-MD"/>
        </w:rPr>
        <w:t>.”.</w:t>
      </w:r>
    </w:p>
    <w:p w14:paraId="2DD99FF3" w14:textId="73040E93" w:rsidR="00897421" w:rsidRPr="000B2CBE" w:rsidRDefault="00CA7601"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La punctul </w:t>
      </w:r>
      <w:r w:rsidR="00041B25" w:rsidRPr="000B2CBE">
        <w:rPr>
          <w:color w:val="000000" w:themeColor="text1"/>
          <w:lang w:val="ro-MD"/>
        </w:rPr>
        <w:t>12</w:t>
      </w:r>
      <w:r w:rsidR="00274FFD">
        <w:rPr>
          <w:color w:val="000000" w:themeColor="text1"/>
          <w:lang w:val="ro-MD"/>
        </w:rPr>
        <w:t>,</w:t>
      </w:r>
      <w:r w:rsidRPr="000B2CBE">
        <w:rPr>
          <w:color w:val="000000" w:themeColor="text1"/>
          <w:lang w:val="ro-MD"/>
        </w:rPr>
        <w:t xml:space="preserve"> </w:t>
      </w:r>
      <w:r w:rsidR="00D21CCF">
        <w:rPr>
          <w:color w:val="000000" w:themeColor="text1"/>
          <w:lang w:val="ro-MD"/>
        </w:rPr>
        <w:t>textul</w:t>
      </w:r>
      <w:r w:rsidR="00D21CCF" w:rsidRPr="000B2CBE">
        <w:rPr>
          <w:color w:val="000000" w:themeColor="text1"/>
          <w:lang w:val="ro-MD"/>
        </w:rPr>
        <w:t xml:space="preserve"> </w:t>
      </w:r>
      <w:r w:rsidRPr="000B2CBE">
        <w:rPr>
          <w:color w:val="000000" w:themeColor="text1"/>
          <w:lang w:val="ro-MD"/>
        </w:rPr>
        <w:t>„</w:t>
      </w:r>
      <w:r w:rsidR="00B909B3" w:rsidRPr="000B2CBE">
        <w:rPr>
          <w:color w:val="000000" w:themeColor="text1"/>
          <w:lang w:val="ro-MD"/>
        </w:rPr>
        <w:t>opinia juridică independentă</w:t>
      </w:r>
      <w:r w:rsidR="00B909B3" w:rsidRPr="006D4DE6">
        <w:rPr>
          <w:color w:val="000000" w:themeColor="text1"/>
          <w:lang w:val="ro-MD"/>
        </w:rPr>
        <w:t>,</w:t>
      </w:r>
      <w:r w:rsidR="00B909B3" w:rsidRPr="000B2CBE">
        <w:rPr>
          <w:color w:val="000000" w:themeColor="text1"/>
          <w:lang w:val="ro-MD"/>
        </w:rPr>
        <w:t xml:space="preserve"> scrisă </w:t>
      </w:r>
      <w:proofErr w:type="spellStart"/>
      <w:r w:rsidR="00B909B3" w:rsidRPr="000B2CBE">
        <w:rPr>
          <w:color w:val="000000" w:themeColor="text1"/>
          <w:lang w:val="ro-MD"/>
        </w:rPr>
        <w:t>şi</w:t>
      </w:r>
      <w:proofErr w:type="spellEnd"/>
      <w:r w:rsidR="00B909B3" w:rsidRPr="000B2CBE">
        <w:rPr>
          <w:color w:val="000000" w:themeColor="text1"/>
          <w:lang w:val="ro-MD"/>
        </w:rPr>
        <w:t xml:space="preserve"> fundamentată</w:t>
      </w:r>
      <w:r w:rsidRPr="000B2CBE">
        <w:rPr>
          <w:color w:val="000000" w:themeColor="text1"/>
          <w:lang w:val="ro-MD"/>
        </w:rPr>
        <w:t>” se substituie cu textul „</w:t>
      </w:r>
      <w:r w:rsidR="00B909B3" w:rsidRPr="000B2CBE">
        <w:rPr>
          <w:color w:val="000000" w:themeColor="text1"/>
          <w:lang w:val="ro-MD"/>
        </w:rPr>
        <w:t>cea mai recentă versiune a opiniei juridice independente, scrisă și fundamentată, utilizată de bancă</w:t>
      </w:r>
      <w:r w:rsidRPr="000B2CBE">
        <w:rPr>
          <w:color w:val="000000" w:themeColor="text1"/>
          <w:lang w:val="ro-MD"/>
        </w:rPr>
        <w:t>”.</w:t>
      </w:r>
    </w:p>
    <w:p w14:paraId="762FF493" w14:textId="17C9F5CC" w:rsidR="00CA7601" w:rsidRPr="000B2CBE" w:rsidRDefault="00CA7601" w:rsidP="00794434">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punct</w:t>
      </w:r>
      <w:r w:rsidR="00CD39CC" w:rsidRPr="000B2CBE">
        <w:rPr>
          <w:color w:val="000000" w:themeColor="text1"/>
          <w:lang w:val="ro-MD"/>
        </w:rPr>
        <w:t>ele</w:t>
      </w:r>
      <w:r w:rsidRPr="000B2CBE">
        <w:rPr>
          <w:color w:val="000000" w:themeColor="text1"/>
          <w:lang w:val="ro-MD"/>
        </w:rPr>
        <w:t xml:space="preserve"> </w:t>
      </w:r>
      <w:r w:rsidR="00B909B3" w:rsidRPr="000B2CBE">
        <w:rPr>
          <w:color w:val="000000" w:themeColor="text1"/>
          <w:lang w:val="ro-MD"/>
        </w:rPr>
        <w:t>14</w:t>
      </w:r>
      <w:r w:rsidR="00581ABE" w:rsidRPr="000B2CBE">
        <w:rPr>
          <w:color w:val="000000" w:themeColor="text1"/>
          <w:lang w:val="ro-MD"/>
        </w:rPr>
        <w:t xml:space="preserve"> subpunctul </w:t>
      </w:r>
      <w:r w:rsidR="00B909B3" w:rsidRPr="000B2CBE">
        <w:rPr>
          <w:color w:val="000000" w:themeColor="text1"/>
          <w:lang w:val="ro-MD"/>
        </w:rPr>
        <w:t>2</w:t>
      </w:r>
      <w:r w:rsidR="00581ABE" w:rsidRPr="000B2CBE">
        <w:rPr>
          <w:color w:val="000000" w:themeColor="text1"/>
          <w:lang w:val="ro-MD"/>
        </w:rPr>
        <w:t>)</w:t>
      </w:r>
      <w:r w:rsidR="00E803DA" w:rsidRPr="000B2CBE">
        <w:rPr>
          <w:color w:val="000000" w:themeColor="text1"/>
          <w:lang w:val="ro-MD"/>
        </w:rPr>
        <w:t xml:space="preserve"> și </w:t>
      </w:r>
      <w:r w:rsidR="00CD39CC" w:rsidRPr="000B2CBE">
        <w:rPr>
          <w:color w:val="000000" w:themeColor="text1"/>
          <w:lang w:val="ro-MD"/>
        </w:rPr>
        <w:t>17 subpunctul 2)</w:t>
      </w:r>
      <w:r w:rsidR="00274FFD">
        <w:rPr>
          <w:color w:val="000000" w:themeColor="text1"/>
          <w:lang w:val="ro-MD"/>
        </w:rPr>
        <w:t>,</w:t>
      </w:r>
      <w:r w:rsidRPr="000B2CBE">
        <w:rPr>
          <w:color w:val="000000" w:themeColor="text1"/>
          <w:lang w:val="ro-MD"/>
        </w:rPr>
        <w:t xml:space="preserve"> textul „</w:t>
      </w:r>
      <w:r w:rsidR="00B909B3" w:rsidRPr="000B2CBE">
        <w:rPr>
          <w:color w:val="000000" w:themeColor="text1"/>
          <w:lang w:val="ro-RO" w:eastAsia="ro-MD"/>
        </w:rPr>
        <w:t>în ceea ce privește protecția creditului realizată, având în vedere</w:t>
      </w:r>
      <w:r w:rsidR="00346B11" w:rsidRPr="000B2CBE">
        <w:rPr>
          <w:color w:val="000000" w:themeColor="text1"/>
          <w:lang w:val="ro-MD"/>
        </w:rPr>
        <w:t>”</w:t>
      </w:r>
      <w:r w:rsidR="00B909B3" w:rsidRPr="000B2CBE">
        <w:rPr>
          <w:color w:val="000000" w:themeColor="text1"/>
          <w:lang w:val="ro-MD"/>
        </w:rPr>
        <w:t xml:space="preserve"> se completează cu cuvintele „</w:t>
      </w:r>
      <w:r w:rsidR="00B909B3" w:rsidRPr="000B2CBE">
        <w:rPr>
          <w:color w:val="000000" w:themeColor="text1"/>
          <w:lang w:val="ro-RO" w:eastAsia="ro-MD"/>
        </w:rPr>
        <w:t>abordarea utilizată pentru a calcula cuantumurile ponderate la risc ale expunerilor și”</w:t>
      </w:r>
      <w:r w:rsidR="00346B11" w:rsidRPr="000B2CBE">
        <w:rPr>
          <w:color w:val="000000" w:themeColor="text1"/>
          <w:lang w:val="ro-MD"/>
        </w:rPr>
        <w:t>.</w:t>
      </w:r>
    </w:p>
    <w:p w14:paraId="13F6E53E" w14:textId="7804387F" w:rsidR="00517E95" w:rsidRPr="000B2CBE" w:rsidRDefault="000B4730"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w:t>
      </w:r>
      <w:r w:rsidR="006D4F30" w:rsidRPr="000B2CBE">
        <w:rPr>
          <w:color w:val="000000" w:themeColor="text1"/>
          <w:lang w:val="ro-MD"/>
        </w:rPr>
        <w:t xml:space="preserve"> punctul </w:t>
      </w:r>
      <w:r w:rsidR="00CD39CC" w:rsidRPr="000B2CBE">
        <w:rPr>
          <w:color w:val="000000" w:themeColor="text1"/>
          <w:lang w:val="ro-MD"/>
        </w:rPr>
        <w:t>19</w:t>
      </w:r>
      <w:r w:rsidR="00B257E4" w:rsidRPr="000B2CBE">
        <w:rPr>
          <w:color w:val="000000" w:themeColor="text1"/>
          <w:lang w:val="ro-MD"/>
        </w:rPr>
        <w:t>,</w:t>
      </w:r>
      <w:r w:rsidR="006D4F30" w:rsidRPr="000B2CBE">
        <w:rPr>
          <w:color w:val="000000" w:themeColor="text1"/>
          <w:lang w:val="ro-MD"/>
        </w:rPr>
        <w:t xml:space="preserve"> cuvintele „</w:t>
      </w:r>
      <w:r w:rsidR="001E0D8E" w:rsidRPr="000B2CBE">
        <w:rPr>
          <w:color w:val="000000" w:themeColor="text1"/>
          <w:lang w:val="ro-RO" w:eastAsia="ro-MD"/>
        </w:rPr>
        <w:t>Banca trebuie să dispună</w:t>
      </w:r>
      <w:r w:rsidR="006D4F30" w:rsidRPr="000B2CBE">
        <w:rPr>
          <w:color w:val="000000" w:themeColor="text1"/>
          <w:lang w:val="ro-MD"/>
        </w:rPr>
        <w:t>” se substituie cu cuvintele „</w:t>
      </w:r>
      <w:r w:rsidR="001327FF" w:rsidRPr="000B2CBE">
        <w:rPr>
          <w:color w:val="000000" w:themeColor="text1"/>
          <w:lang w:val="ro-RO" w:eastAsia="ro-MD"/>
        </w:rPr>
        <w:t>Banca trebuie să poată demonstra Băncii Naționale a Moldovei că dispune</w:t>
      </w:r>
      <w:r w:rsidR="006D4F30" w:rsidRPr="000B2CBE">
        <w:rPr>
          <w:color w:val="000000" w:themeColor="text1"/>
          <w:lang w:val="ro-MD"/>
        </w:rPr>
        <w:t>”.</w:t>
      </w:r>
    </w:p>
    <w:p w14:paraId="05726DF5" w14:textId="7F705906" w:rsidR="0000731F" w:rsidRPr="000B2CBE" w:rsidRDefault="002B0675" w:rsidP="006D4F30">
      <w:pPr>
        <w:pStyle w:val="ListParagraph"/>
        <w:numPr>
          <w:ilvl w:val="1"/>
          <w:numId w:val="27"/>
        </w:numPr>
        <w:tabs>
          <w:tab w:val="left" w:pos="567"/>
        </w:tabs>
        <w:ind w:left="0" w:firstLine="567"/>
        <w:jc w:val="both"/>
        <w:rPr>
          <w:color w:val="000000" w:themeColor="text1"/>
          <w:lang w:val="ro-MD"/>
        </w:rPr>
      </w:pPr>
      <w:r w:rsidRPr="000B2CBE">
        <w:rPr>
          <w:color w:val="000000" w:themeColor="text1"/>
          <w:lang w:val="ro-MD"/>
        </w:rPr>
        <w:t>La p</w:t>
      </w:r>
      <w:r w:rsidR="0093744B" w:rsidRPr="000B2CBE">
        <w:rPr>
          <w:color w:val="000000" w:themeColor="text1"/>
          <w:lang w:val="ro-MD"/>
        </w:rPr>
        <w:t xml:space="preserve">unctul </w:t>
      </w:r>
      <w:r w:rsidR="00B84B9B" w:rsidRPr="000B2CBE">
        <w:rPr>
          <w:color w:val="000000" w:themeColor="text1"/>
          <w:lang w:val="ro-MD"/>
        </w:rPr>
        <w:t>20</w:t>
      </w:r>
      <w:r w:rsidR="00274FFD">
        <w:rPr>
          <w:color w:val="000000" w:themeColor="text1"/>
          <w:lang w:val="ro-MD"/>
        </w:rPr>
        <w:t>,</w:t>
      </w:r>
      <w:r w:rsidR="00B84B9B" w:rsidRPr="000B2CBE">
        <w:rPr>
          <w:color w:val="000000" w:themeColor="text1"/>
          <w:lang w:val="ro-MD"/>
        </w:rPr>
        <w:t xml:space="preserve"> după </w:t>
      </w:r>
      <w:r w:rsidR="00DF1FA7">
        <w:rPr>
          <w:color w:val="000000" w:themeColor="text1"/>
          <w:lang w:val="ro-MD"/>
        </w:rPr>
        <w:t>textul</w:t>
      </w:r>
      <w:r w:rsidR="00DF1FA7" w:rsidRPr="000B2CBE">
        <w:rPr>
          <w:color w:val="000000" w:themeColor="text1"/>
          <w:lang w:val="ro-MD"/>
        </w:rPr>
        <w:t xml:space="preserve"> </w:t>
      </w:r>
      <w:r w:rsidR="00B84B9B" w:rsidRPr="000B2CBE">
        <w:rPr>
          <w:color w:val="000000" w:themeColor="text1"/>
          <w:lang w:val="ro-MD"/>
        </w:rPr>
        <w:t>„</w:t>
      </w:r>
      <w:r w:rsidR="00F73F66" w:rsidRPr="000B2CBE">
        <w:rPr>
          <w:color w:val="000000" w:themeColor="text1"/>
          <w:lang w:val="ro-MD"/>
        </w:rPr>
        <w:t>calculării valorilor ponderate la risc ale expunerilor, ”</w:t>
      </w:r>
      <w:r w:rsidR="0093744B" w:rsidRPr="000B2CBE">
        <w:rPr>
          <w:color w:val="000000" w:themeColor="text1"/>
          <w:lang w:val="ro-MD"/>
        </w:rPr>
        <w:t xml:space="preserve"> se completează cu textul „</w:t>
      </w:r>
      <w:r w:rsidR="00F73F66" w:rsidRPr="000B2CBE">
        <w:rPr>
          <w:color w:val="000000" w:themeColor="text1"/>
          <w:lang w:val="ro-MD"/>
        </w:rPr>
        <w:t xml:space="preserve"> </w:t>
      </w:r>
      <w:r w:rsidR="00F73F66" w:rsidRPr="000B2CBE">
        <w:rPr>
          <w:color w:val="000000" w:themeColor="text1"/>
          <w:lang w:val="ro-RO" w:eastAsia="ro-MD"/>
        </w:rPr>
        <w:t xml:space="preserve">și, după caz, al valorilor pierderilor așteptate, </w:t>
      </w:r>
      <w:r w:rsidR="0093744B" w:rsidRPr="000B2CBE">
        <w:rPr>
          <w:color w:val="000000" w:themeColor="text1"/>
          <w:lang w:val="ro-MD"/>
        </w:rPr>
        <w:t>”.</w:t>
      </w:r>
    </w:p>
    <w:p w14:paraId="3F86372B" w14:textId="21A24EF6" w:rsidR="000340B6" w:rsidRPr="000B2CBE" w:rsidRDefault="005703F4" w:rsidP="006D4F30">
      <w:pPr>
        <w:pStyle w:val="ListParagraph"/>
        <w:numPr>
          <w:ilvl w:val="1"/>
          <w:numId w:val="27"/>
        </w:numPr>
        <w:tabs>
          <w:tab w:val="left" w:pos="567"/>
        </w:tabs>
        <w:ind w:left="0" w:firstLine="567"/>
        <w:jc w:val="both"/>
        <w:rPr>
          <w:color w:val="000000" w:themeColor="text1"/>
          <w:lang w:val="ro-MD"/>
        </w:rPr>
      </w:pPr>
      <w:r w:rsidRPr="000B2CBE">
        <w:rPr>
          <w:color w:val="000000" w:themeColor="text1"/>
          <w:lang w:val="ro-MD"/>
        </w:rPr>
        <w:t xml:space="preserve">La punctul </w:t>
      </w:r>
      <w:r w:rsidR="0079362A" w:rsidRPr="000B2CBE">
        <w:rPr>
          <w:color w:val="000000" w:themeColor="text1"/>
          <w:lang w:val="ro-MD"/>
        </w:rPr>
        <w:t>22</w:t>
      </w:r>
      <w:r w:rsidR="000340B6" w:rsidRPr="000B2CBE">
        <w:rPr>
          <w:color w:val="000000" w:themeColor="text1"/>
          <w:lang w:val="ro-MD"/>
        </w:rPr>
        <w:t>:</w:t>
      </w:r>
    </w:p>
    <w:p w14:paraId="01B658B5" w14:textId="40539B2C" w:rsidR="0093744B" w:rsidRPr="000B2CBE" w:rsidRDefault="00FC5659" w:rsidP="000340B6">
      <w:pPr>
        <w:pStyle w:val="ListParagraph"/>
        <w:numPr>
          <w:ilvl w:val="2"/>
          <w:numId w:val="27"/>
        </w:numPr>
        <w:tabs>
          <w:tab w:val="left" w:pos="567"/>
        </w:tabs>
        <w:ind w:left="0" w:firstLine="567"/>
        <w:jc w:val="both"/>
        <w:rPr>
          <w:color w:val="000000" w:themeColor="text1"/>
          <w:lang w:val="ro-MD"/>
        </w:rPr>
      </w:pPr>
      <w:r w:rsidRPr="000B2CBE">
        <w:rPr>
          <w:color w:val="000000" w:themeColor="text1"/>
          <w:lang w:val="ro-MD"/>
        </w:rPr>
        <w:t xml:space="preserve">cuvintele „între o bancă </w:t>
      </w:r>
      <w:r w:rsidR="000008D0" w:rsidRPr="000B2CBE">
        <w:rPr>
          <w:color w:val="000000" w:themeColor="text1"/>
          <w:lang w:val="ro-MD"/>
        </w:rPr>
        <w:t>și</w:t>
      </w:r>
      <w:r w:rsidRPr="000B2CBE">
        <w:rPr>
          <w:color w:val="000000" w:themeColor="text1"/>
          <w:lang w:val="ro-MD"/>
        </w:rPr>
        <w:t xml:space="preserve"> </w:t>
      </w:r>
      <w:proofErr w:type="spellStart"/>
      <w:r w:rsidRPr="000B2CBE">
        <w:rPr>
          <w:color w:val="000000" w:themeColor="text1"/>
          <w:lang w:val="ro-MD"/>
        </w:rPr>
        <w:t>contrapartea</w:t>
      </w:r>
      <w:proofErr w:type="spellEnd"/>
      <w:r w:rsidRPr="000B2CBE">
        <w:rPr>
          <w:color w:val="000000" w:themeColor="text1"/>
          <w:lang w:val="ro-MD"/>
        </w:rPr>
        <w:t xml:space="preserve"> expunerii garantate” se substituie cu cuvintele </w:t>
      </w:r>
      <w:r w:rsidR="005703F4" w:rsidRPr="000B2CBE">
        <w:rPr>
          <w:color w:val="000000" w:themeColor="text1"/>
          <w:lang w:val="ro-MD"/>
        </w:rPr>
        <w:t>„</w:t>
      </w:r>
      <w:r w:rsidR="000340B6" w:rsidRPr="000B2CBE">
        <w:rPr>
          <w:color w:val="000000" w:themeColor="text1"/>
          <w:lang w:val="ro-RO" w:eastAsia="ro-MD"/>
        </w:rPr>
        <w:t xml:space="preserve">ale băncii și ale </w:t>
      </w:r>
      <w:proofErr w:type="spellStart"/>
      <w:r w:rsidR="000340B6" w:rsidRPr="000B2CBE">
        <w:rPr>
          <w:color w:val="000000" w:themeColor="text1"/>
          <w:lang w:val="ro-RO" w:eastAsia="ro-MD"/>
        </w:rPr>
        <w:t>contrapărții</w:t>
      </w:r>
      <w:proofErr w:type="spellEnd"/>
      <w:r w:rsidR="005703F4" w:rsidRPr="000B2CBE">
        <w:rPr>
          <w:color w:val="000000" w:themeColor="text1"/>
          <w:lang w:val="ro-MD"/>
        </w:rPr>
        <w:t>”</w:t>
      </w:r>
      <w:r w:rsidRPr="000B2CBE">
        <w:rPr>
          <w:color w:val="000000" w:themeColor="text1"/>
          <w:lang w:val="ro-MD"/>
        </w:rPr>
        <w:t>;</w:t>
      </w:r>
    </w:p>
    <w:p w14:paraId="40CE5B34" w14:textId="325FEE60" w:rsidR="00FC5659" w:rsidRPr="000B2CBE" w:rsidRDefault="00FC5659" w:rsidP="000340B6">
      <w:pPr>
        <w:pStyle w:val="ListParagraph"/>
        <w:numPr>
          <w:ilvl w:val="2"/>
          <w:numId w:val="27"/>
        </w:numPr>
        <w:tabs>
          <w:tab w:val="left" w:pos="567"/>
        </w:tabs>
        <w:ind w:left="0" w:firstLine="567"/>
        <w:jc w:val="both"/>
        <w:rPr>
          <w:color w:val="000000" w:themeColor="text1"/>
          <w:lang w:val="ro-MD"/>
        </w:rPr>
      </w:pPr>
      <w:r w:rsidRPr="000B2CBE">
        <w:rPr>
          <w:color w:val="000000" w:themeColor="text1"/>
          <w:lang w:val="ro-MD"/>
        </w:rPr>
        <w:t>după cuvintele „</w:t>
      </w:r>
      <w:r w:rsidRPr="000B2CBE">
        <w:rPr>
          <w:color w:val="000000" w:themeColor="text1"/>
          <w:lang w:val="ro-RO" w:eastAsia="ro-MD"/>
        </w:rPr>
        <w:t>valorile ponderate la risc ale expunerilor” se completează cu textul „ și, după caz, cuantumurile pierderilor așteptate”.</w:t>
      </w:r>
    </w:p>
    <w:p w14:paraId="58CEB034" w14:textId="77777777" w:rsidR="00841A67" w:rsidRPr="000B2CBE" w:rsidRDefault="007C3CFF" w:rsidP="006D4F30">
      <w:pPr>
        <w:pStyle w:val="ListParagraph"/>
        <w:numPr>
          <w:ilvl w:val="1"/>
          <w:numId w:val="27"/>
        </w:numPr>
        <w:tabs>
          <w:tab w:val="left" w:pos="567"/>
        </w:tabs>
        <w:ind w:left="0" w:firstLine="567"/>
        <w:jc w:val="both"/>
        <w:rPr>
          <w:color w:val="000000" w:themeColor="text1"/>
          <w:lang w:val="ro-MD"/>
        </w:rPr>
      </w:pPr>
      <w:r w:rsidRPr="000B2CBE">
        <w:rPr>
          <w:color w:val="000000" w:themeColor="text1"/>
          <w:lang w:val="ro-MD"/>
        </w:rPr>
        <w:t xml:space="preserve">La punctul </w:t>
      </w:r>
      <w:r w:rsidR="008E3327" w:rsidRPr="000B2CBE">
        <w:rPr>
          <w:color w:val="000000" w:themeColor="text1"/>
          <w:lang w:val="ro-MD"/>
        </w:rPr>
        <w:t>23</w:t>
      </w:r>
      <w:r w:rsidR="00841A67" w:rsidRPr="000B2CBE">
        <w:rPr>
          <w:color w:val="000000" w:themeColor="text1"/>
          <w:lang w:val="ro-MD"/>
        </w:rPr>
        <w:t>:</w:t>
      </w:r>
    </w:p>
    <w:p w14:paraId="5DB94A83" w14:textId="41EF4AF4" w:rsidR="00841A67" w:rsidRPr="000B2CBE" w:rsidRDefault="00841A67" w:rsidP="00841A67">
      <w:pPr>
        <w:pStyle w:val="ListParagraph"/>
        <w:numPr>
          <w:ilvl w:val="2"/>
          <w:numId w:val="27"/>
        </w:numPr>
        <w:tabs>
          <w:tab w:val="left" w:pos="567"/>
        </w:tabs>
        <w:ind w:left="0" w:firstLine="567"/>
        <w:jc w:val="both"/>
        <w:rPr>
          <w:color w:val="000000" w:themeColor="text1"/>
          <w:lang w:val="ro-MD"/>
        </w:rPr>
      </w:pPr>
      <w:r w:rsidRPr="000B2CBE">
        <w:rPr>
          <w:color w:val="000000" w:themeColor="text1"/>
          <w:lang w:val="ro-MD"/>
        </w:rPr>
        <w:t xml:space="preserve">cuvintele „cu o </w:t>
      </w:r>
      <w:proofErr w:type="spellStart"/>
      <w:r w:rsidRPr="000B2CBE">
        <w:rPr>
          <w:color w:val="000000" w:themeColor="text1"/>
          <w:lang w:val="ro-MD"/>
        </w:rPr>
        <w:t>contraparte</w:t>
      </w:r>
      <w:proofErr w:type="spellEnd"/>
      <w:r w:rsidRPr="000B2CBE">
        <w:rPr>
          <w:color w:val="000000" w:themeColor="text1"/>
          <w:lang w:val="ro-MD"/>
        </w:rPr>
        <w:t>” de la final se exclud;</w:t>
      </w:r>
    </w:p>
    <w:p w14:paraId="6B38C5DC" w14:textId="5C020ABD" w:rsidR="00841A67" w:rsidRPr="000B2CBE" w:rsidRDefault="008E3327" w:rsidP="00841A67">
      <w:pPr>
        <w:pStyle w:val="ListParagraph"/>
        <w:numPr>
          <w:ilvl w:val="2"/>
          <w:numId w:val="27"/>
        </w:numPr>
        <w:tabs>
          <w:tab w:val="left" w:pos="567"/>
        </w:tabs>
        <w:ind w:left="0" w:firstLine="567"/>
        <w:jc w:val="both"/>
        <w:rPr>
          <w:color w:val="000000" w:themeColor="text1"/>
          <w:lang w:val="ro-MD"/>
        </w:rPr>
      </w:pPr>
      <w:r w:rsidRPr="000B2CBE">
        <w:rPr>
          <w:color w:val="000000" w:themeColor="text1"/>
          <w:lang w:val="ro-MD"/>
        </w:rPr>
        <w:t xml:space="preserve">după cuvintele </w:t>
      </w:r>
      <w:r w:rsidR="007C3CFF" w:rsidRPr="000B2CBE">
        <w:rPr>
          <w:color w:val="000000" w:themeColor="text1"/>
          <w:lang w:val="ro-MD"/>
        </w:rPr>
        <w:t>„</w:t>
      </w:r>
      <w:r w:rsidRPr="000B2CBE">
        <w:rPr>
          <w:color w:val="000000" w:themeColor="text1"/>
          <w:lang w:val="ro-RO" w:eastAsia="ro-MD"/>
        </w:rPr>
        <w:t>compensare bilaterală</w:t>
      </w:r>
      <w:r w:rsidR="007C3CFF" w:rsidRPr="000B2CBE">
        <w:rPr>
          <w:color w:val="000000" w:themeColor="text1"/>
          <w:lang w:val="ro-MD"/>
        </w:rPr>
        <w:t xml:space="preserve">” se </w:t>
      </w:r>
      <w:r w:rsidRPr="000B2CBE">
        <w:rPr>
          <w:color w:val="000000" w:themeColor="text1"/>
          <w:lang w:val="ro-MD"/>
        </w:rPr>
        <w:t>completează</w:t>
      </w:r>
      <w:r w:rsidR="007C3CFF" w:rsidRPr="000B2CBE">
        <w:rPr>
          <w:color w:val="000000" w:themeColor="text1"/>
          <w:lang w:val="ro-MD"/>
        </w:rPr>
        <w:t xml:space="preserve"> cu </w:t>
      </w:r>
      <w:r w:rsidRPr="000B2CBE">
        <w:rPr>
          <w:color w:val="000000" w:themeColor="text1"/>
          <w:lang w:val="ro-MD"/>
        </w:rPr>
        <w:t>cuvintele</w:t>
      </w:r>
      <w:r w:rsidR="007C3CFF" w:rsidRPr="000B2CBE">
        <w:rPr>
          <w:color w:val="000000" w:themeColor="text1"/>
          <w:lang w:val="ro-MD"/>
        </w:rPr>
        <w:t xml:space="preserve"> „</w:t>
      </w:r>
      <w:r w:rsidRPr="000B2CBE">
        <w:rPr>
          <w:color w:val="000000" w:themeColor="text1"/>
          <w:lang w:val="ro-RO" w:eastAsia="ro-MD"/>
        </w:rPr>
        <w:t xml:space="preserve">cu o </w:t>
      </w:r>
      <w:proofErr w:type="spellStart"/>
      <w:r w:rsidRPr="000B2CBE">
        <w:rPr>
          <w:color w:val="000000" w:themeColor="text1"/>
          <w:lang w:val="ro-RO" w:eastAsia="ro-MD"/>
        </w:rPr>
        <w:t>contraparte</w:t>
      </w:r>
      <w:proofErr w:type="spellEnd"/>
      <w:r w:rsidR="007C3CFF" w:rsidRPr="000B2CBE">
        <w:rPr>
          <w:color w:val="000000" w:themeColor="text1"/>
          <w:lang w:val="ro-MD"/>
        </w:rPr>
        <w:t>”</w:t>
      </w:r>
      <w:r w:rsidR="00841A67" w:rsidRPr="000B2CBE">
        <w:rPr>
          <w:color w:val="000000" w:themeColor="text1"/>
          <w:lang w:val="ro-MD"/>
        </w:rPr>
        <w:t>.</w:t>
      </w:r>
    </w:p>
    <w:p w14:paraId="7EC2A591" w14:textId="3CF4CBF1" w:rsidR="004C4927" w:rsidRPr="000B2CBE" w:rsidRDefault="00274FFD" w:rsidP="00F26F58">
      <w:pPr>
        <w:pStyle w:val="ListParagraph"/>
        <w:numPr>
          <w:ilvl w:val="1"/>
          <w:numId w:val="27"/>
        </w:numPr>
        <w:ind w:left="0" w:firstLine="567"/>
        <w:jc w:val="both"/>
        <w:rPr>
          <w:color w:val="000000" w:themeColor="text1"/>
          <w:lang w:val="ro-RO" w:eastAsia="ro-MD"/>
        </w:rPr>
      </w:pPr>
      <w:r>
        <w:rPr>
          <w:color w:val="000000" w:themeColor="text1"/>
          <w:lang w:val="ro-RO" w:eastAsia="ro-MD"/>
        </w:rPr>
        <w:t>P</w:t>
      </w:r>
      <w:r w:rsidR="004A1B21" w:rsidRPr="000B2CBE">
        <w:rPr>
          <w:color w:val="000000" w:themeColor="text1"/>
          <w:lang w:val="ro-RO" w:eastAsia="ro-MD"/>
        </w:rPr>
        <w:t xml:space="preserve">unctul </w:t>
      </w:r>
      <w:r w:rsidR="00841A67" w:rsidRPr="000B2CBE">
        <w:rPr>
          <w:color w:val="000000" w:themeColor="text1"/>
          <w:lang w:val="ro-RO" w:eastAsia="ro-MD"/>
        </w:rPr>
        <w:t>24, la început</w:t>
      </w:r>
      <w:r>
        <w:rPr>
          <w:color w:val="000000" w:themeColor="text1"/>
          <w:lang w:val="ro-RO" w:eastAsia="ro-MD"/>
        </w:rPr>
        <w:t>,</w:t>
      </w:r>
      <w:r w:rsidR="00841A67" w:rsidRPr="000B2CBE">
        <w:rPr>
          <w:color w:val="000000" w:themeColor="text1"/>
          <w:lang w:val="ro-RO" w:eastAsia="ro-MD"/>
        </w:rPr>
        <w:t xml:space="preserve"> se completează cu </w:t>
      </w:r>
      <w:r w:rsidR="003E7CF6">
        <w:rPr>
          <w:color w:val="000000" w:themeColor="text1"/>
          <w:lang w:val="ro-RO" w:eastAsia="ro-MD"/>
        </w:rPr>
        <w:t>textul</w:t>
      </w:r>
      <w:r w:rsidR="003E7CF6" w:rsidRPr="000B2CBE">
        <w:rPr>
          <w:color w:val="000000" w:themeColor="text1"/>
          <w:lang w:val="ro-RO" w:eastAsia="ro-MD"/>
        </w:rPr>
        <w:t xml:space="preserve"> </w:t>
      </w:r>
      <w:r w:rsidR="00C6698D" w:rsidRPr="000B2CBE">
        <w:rPr>
          <w:color w:val="000000" w:themeColor="text1"/>
          <w:lang w:val="ro-RO" w:eastAsia="ro-MD"/>
        </w:rPr>
        <w:t xml:space="preserve">„Fără a aduce atingere capitolului aferent elementelor portofoliului de tranzacționare din </w:t>
      </w:r>
      <w:r w:rsidR="00520956">
        <w:rPr>
          <w:color w:val="000000" w:themeColor="text1"/>
          <w:lang w:val="ro-RO" w:eastAsia="ro-MD"/>
        </w:rPr>
        <w:t>Regulamentul cu privire la</w:t>
      </w:r>
      <w:r w:rsidR="00115665">
        <w:rPr>
          <w:color w:val="000000" w:themeColor="text1"/>
          <w:lang w:val="ro-RO" w:eastAsia="ro-MD"/>
        </w:rPr>
        <w:t xml:space="preserve"> </w:t>
      </w:r>
      <w:r w:rsidR="00C6698D" w:rsidRPr="000B2CBE">
        <w:rPr>
          <w:color w:val="000000" w:themeColor="text1"/>
          <w:lang w:val="ro-RO" w:eastAsia="ro-MD"/>
        </w:rPr>
        <w:t xml:space="preserve">tratamentul riscului de </w:t>
      </w:r>
      <w:r w:rsidR="00C6698D" w:rsidRPr="000B2CBE">
        <w:rPr>
          <w:color w:val="000000" w:themeColor="text1"/>
          <w:lang w:val="ro-RO" w:eastAsia="ro-MD"/>
        </w:rPr>
        <w:lastRenderedPageBreak/>
        <w:t xml:space="preserve">credit al </w:t>
      </w:r>
      <w:proofErr w:type="spellStart"/>
      <w:r w:rsidR="00C6698D" w:rsidRPr="000B2CBE">
        <w:rPr>
          <w:color w:val="000000" w:themeColor="text1"/>
          <w:lang w:val="ro-RO" w:eastAsia="ro-MD"/>
        </w:rPr>
        <w:t>contrapărții</w:t>
      </w:r>
      <w:proofErr w:type="spellEnd"/>
      <w:r w:rsidR="00C6698D" w:rsidRPr="000B2CBE">
        <w:rPr>
          <w:color w:val="000000" w:themeColor="text1"/>
          <w:lang w:val="ro-RO" w:eastAsia="ro-MD"/>
        </w:rPr>
        <w:t xml:space="preserve"> pentru bănci</w:t>
      </w:r>
      <w:r w:rsidR="00520956">
        <w:rPr>
          <w:color w:val="000000" w:themeColor="text1"/>
          <w:lang w:val="ro-RO" w:eastAsia="ro-MD"/>
        </w:rPr>
        <w:t xml:space="preserve">, aprobat prin Hotărârea </w:t>
      </w:r>
      <w:r w:rsidR="00115665">
        <w:rPr>
          <w:color w:val="000000" w:themeColor="text1"/>
          <w:lang w:val="ro-RO" w:eastAsia="ro-MD"/>
        </w:rPr>
        <w:t>C</w:t>
      </w:r>
      <w:r w:rsidR="00520956">
        <w:rPr>
          <w:color w:val="000000" w:themeColor="text1"/>
          <w:lang w:val="ro-RO" w:eastAsia="ro-MD"/>
        </w:rPr>
        <w:t>omitetului executiv al Băncii Naționale a Moldovei nr.220/20</w:t>
      </w:r>
      <w:r w:rsidR="00115665">
        <w:rPr>
          <w:color w:val="000000" w:themeColor="text1"/>
          <w:lang w:val="ro-RO" w:eastAsia="ro-MD"/>
        </w:rPr>
        <w:t>25</w:t>
      </w:r>
      <w:r w:rsidR="0027791D">
        <w:rPr>
          <w:color w:val="000000" w:themeColor="text1"/>
          <w:lang w:val="ro-RO" w:eastAsia="ro-MD"/>
        </w:rPr>
        <w:t xml:space="preserve"> (în continuare – Regulamentul nr.220/2025)</w:t>
      </w:r>
      <w:r w:rsidR="00C6698D" w:rsidRPr="000B2CBE">
        <w:rPr>
          <w:color w:val="000000" w:themeColor="text1"/>
          <w:lang w:val="ro-RO" w:eastAsia="ro-MD"/>
        </w:rPr>
        <w:t>”</w:t>
      </w:r>
      <w:r w:rsidR="00214058" w:rsidRPr="000B2CBE">
        <w:rPr>
          <w:color w:val="000000" w:themeColor="text1"/>
          <w:lang w:val="ro-RO" w:eastAsia="ro-MD"/>
        </w:rPr>
        <w:t>.</w:t>
      </w:r>
    </w:p>
    <w:p w14:paraId="1EFE9F14" w14:textId="504D5E23" w:rsidR="00386948" w:rsidRPr="000B2CBE" w:rsidRDefault="002B2B58" w:rsidP="002B2B58">
      <w:pPr>
        <w:pStyle w:val="ListParagraph"/>
        <w:numPr>
          <w:ilvl w:val="1"/>
          <w:numId w:val="27"/>
        </w:numPr>
        <w:ind w:left="0" w:firstLine="567"/>
        <w:jc w:val="both"/>
        <w:rPr>
          <w:color w:val="000000" w:themeColor="text1"/>
          <w:lang w:val="ro-RO" w:eastAsia="ro-MD"/>
        </w:rPr>
      </w:pPr>
      <w:r w:rsidRPr="000B2CBE">
        <w:rPr>
          <w:color w:val="000000" w:themeColor="text1"/>
          <w:lang w:val="ro-RO" w:eastAsia="ro-MD"/>
        </w:rPr>
        <w:t>La p</w:t>
      </w:r>
      <w:r w:rsidR="00386948" w:rsidRPr="000B2CBE">
        <w:rPr>
          <w:color w:val="000000" w:themeColor="text1"/>
          <w:lang w:val="ro-RO" w:eastAsia="ro-MD"/>
        </w:rPr>
        <w:t xml:space="preserve">unctul </w:t>
      </w:r>
      <w:r w:rsidRPr="000B2CBE">
        <w:rPr>
          <w:color w:val="000000" w:themeColor="text1"/>
          <w:lang w:val="ro-RO" w:eastAsia="ro-MD"/>
        </w:rPr>
        <w:t>25:</w:t>
      </w:r>
    </w:p>
    <w:p w14:paraId="6E35B613" w14:textId="59755ECE" w:rsidR="002B2B58" w:rsidRPr="000B2CBE" w:rsidRDefault="002B2B58" w:rsidP="002B2B58">
      <w:pPr>
        <w:pStyle w:val="ListParagraph"/>
        <w:numPr>
          <w:ilvl w:val="2"/>
          <w:numId w:val="27"/>
        </w:numPr>
        <w:ind w:left="0" w:firstLine="567"/>
        <w:jc w:val="both"/>
        <w:rPr>
          <w:color w:val="000000" w:themeColor="text1"/>
          <w:lang w:val="ro-RO" w:eastAsia="ro-MD"/>
        </w:rPr>
      </w:pPr>
      <w:r w:rsidRPr="000B2CBE">
        <w:rPr>
          <w:color w:val="000000" w:themeColor="text1"/>
          <w:lang w:val="ro-RO" w:eastAsia="ro-MD"/>
        </w:rPr>
        <w:t>subpunctul 1) va avea următorul cuprins:</w:t>
      </w:r>
    </w:p>
    <w:p w14:paraId="0009F513" w14:textId="75513187" w:rsidR="002B2B58" w:rsidRPr="000B2CBE" w:rsidRDefault="002B2B58" w:rsidP="002B2B58">
      <w:pPr>
        <w:pStyle w:val="ListParagraph"/>
        <w:ind w:left="0" w:firstLine="567"/>
        <w:jc w:val="both"/>
        <w:rPr>
          <w:color w:val="000000" w:themeColor="text1"/>
          <w:lang w:val="ro-RO" w:eastAsia="ro-MD"/>
        </w:rPr>
      </w:pPr>
      <w:r w:rsidRPr="000B2CBE">
        <w:rPr>
          <w:color w:val="000000" w:themeColor="text1"/>
          <w:lang w:val="ro-RO" w:eastAsia="ro-MD"/>
        </w:rPr>
        <w:t>„mijloace bănești sub formă de depozit constituit la banca creditoare sau instrumente asimilate mijloacelor bănești păstrate de această societate de evaluare externă a creditului</w:t>
      </w:r>
      <w:r w:rsidR="00A07A9D" w:rsidRPr="000B2CBE">
        <w:rPr>
          <w:color w:val="000000" w:themeColor="text1"/>
          <w:lang w:val="ro-RO" w:eastAsia="ro-MD"/>
        </w:rPr>
        <w:t xml:space="preserve"> (</w:t>
      </w:r>
      <w:r w:rsidR="00FF1753">
        <w:rPr>
          <w:color w:val="000000" w:themeColor="text1"/>
          <w:lang w:val="ro-RO" w:eastAsia="ro-MD"/>
        </w:rPr>
        <w:t xml:space="preserve">în continuare - </w:t>
      </w:r>
      <w:r w:rsidR="00A07A9D" w:rsidRPr="000B2CBE">
        <w:rPr>
          <w:color w:val="000000" w:themeColor="text1"/>
          <w:lang w:val="ro-RO" w:eastAsia="ro-MD"/>
        </w:rPr>
        <w:t>ECAI)</w:t>
      </w:r>
      <w:r w:rsidRPr="000B2CBE">
        <w:rPr>
          <w:color w:val="000000" w:themeColor="text1"/>
          <w:lang w:val="ro-RO" w:eastAsia="ro-MD"/>
        </w:rPr>
        <w:t>;”;</w:t>
      </w:r>
    </w:p>
    <w:p w14:paraId="6D1948AB" w14:textId="78BEF724" w:rsidR="008152E2" w:rsidRPr="000B2CBE" w:rsidRDefault="008152E2" w:rsidP="008152E2">
      <w:pPr>
        <w:pStyle w:val="ListParagraph"/>
        <w:numPr>
          <w:ilvl w:val="2"/>
          <w:numId w:val="27"/>
        </w:numPr>
        <w:ind w:left="0" w:firstLine="567"/>
        <w:jc w:val="both"/>
        <w:rPr>
          <w:color w:val="000000" w:themeColor="text1"/>
          <w:lang w:val="ro-RO" w:eastAsia="ro-MD"/>
        </w:rPr>
      </w:pPr>
      <w:r w:rsidRPr="000B2CBE">
        <w:rPr>
          <w:color w:val="000000" w:themeColor="text1"/>
          <w:lang w:val="ro-RO" w:eastAsia="ro-MD"/>
        </w:rPr>
        <w:t>la subpunct</w:t>
      </w:r>
      <w:r w:rsidR="00347314" w:rsidRPr="000B2CBE">
        <w:rPr>
          <w:color w:val="000000" w:themeColor="text1"/>
          <w:lang w:val="ro-RO" w:eastAsia="ro-MD"/>
        </w:rPr>
        <w:t>ele</w:t>
      </w:r>
      <w:r w:rsidRPr="000B2CBE">
        <w:rPr>
          <w:color w:val="000000" w:themeColor="text1"/>
          <w:lang w:val="ro-RO" w:eastAsia="ro-MD"/>
        </w:rPr>
        <w:t xml:space="preserve"> </w:t>
      </w:r>
      <w:r w:rsidR="00347314" w:rsidRPr="00A0092E">
        <w:rPr>
          <w:color w:val="000000" w:themeColor="text1"/>
          <w:lang w:val="ro-RO" w:eastAsia="ro-MD"/>
        </w:rPr>
        <w:t>4</w:t>
      </w:r>
      <w:r w:rsidRPr="00A0092E">
        <w:rPr>
          <w:color w:val="000000" w:themeColor="text1"/>
          <w:lang w:val="ro-RO" w:eastAsia="ro-MD"/>
        </w:rPr>
        <w:t>)</w:t>
      </w:r>
      <w:r w:rsidR="00347314" w:rsidRPr="00A0092E">
        <w:rPr>
          <w:color w:val="000000" w:themeColor="text1"/>
          <w:lang w:val="ro-RO" w:eastAsia="ro-MD"/>
        </w:rPr>
        <w:t>, 5) și 6)</w:t>
      </w:r>
      <w:r w:rsidR="00274FFD">
        <w:rPr>
          <w:color w:val="000000" w:themeColor="text1"/>
          <w:lang w:val="ro-RO" w:eastAsia="ro-MD"/>
        </w:rPr>
        <w:t>,</w:t>
      </w:r>
      <w:r w:rsidR="00347314" w:rsidRPr="000B2CBE">
        <w:rPr>
          <w:color w:val="000000" w:themeColor="text1"/>
          <w:lang w:val="ro-RO" w:eastAsia="ro-MD"/>
        </w:rPr>
        <w:t xml:space="preserve"> după </w:t>
      </w:r>
      <w:r w:rsidR="00AB49F3" w:rsidRPr="000B2CBE">
        <w:rPr>
          <w:color w:val="000000" w:themeColor="text1"/>
          <w:lang w:val="ro-RO" w:eastAsia="ro-MD"/>
        </w:rPr>
        <w:t xml:space="preserve">cuvintele </w:t>
      </w:r>
      <w:r w:rsidR="00347314" w:rsidRPr="000B2CBE">
        <w:rPr>
          <w:color w:val="000000" w:themeColor="text1"/>
          <w:lang w:val="ro-RO" w:eastAsia="ro-MD"/>
        </w:rPr>
        <w:t>„efectuată de o ECAI” se completează cu textul „</w:t>
      </w:r>
      <w:r w:rsidR="00AB49F3" w:rsidRPr="000B2CBE">
        <w:rPr>
          <w:color w:val="000000" w:themeColor="text1"/>
          <w:lang w:val="ro-RO" w:eastAsia="ro-MD"/>
        </w:rPr>
        <w:t>, desemnată de bancă în sensul Regulamentului nr.111/2018”;</w:t>
      </w:r>
    </w:p>
    <w:p w14:paraId="21FEE5A3" w14:textId="725386D9" w:rsidR="00AB49F3" w:rsidRPr="000B2CBE" w:rsidRDefault="00AB49F3" w:rsidP="008152E2">
      <w:pPr>
        <w:pStyle w:val="ListParagraph"/>
        <w:numPr>
          <w:ilvl w:val="2"/>
          <w:numId w:val="27"/>
        </w:numPr>
        <w:ind w:left="0" w:firstLine="567"/>
        <w:jc w:val="both"/>
        <w:rPr>
          <w:color w:val="000000" w:themeColor="text1"/>
          <w:lang w:val="ro-RO" w:eastAsia="ro-MD"/>
        </w:rPr>
      </w:pPr>
      <w:r w:rsidRPr="000B2CBE">
        <w:rPr>
          <w:color w:val="000000" w:themeColor="text1"/>
          <w:lang w:val="ro-RO" w:eastAsia="ro-MD"/>
        </w:rPr>
        <w:t>la subpunctul 8)</w:t>
      </w:r>
      <w:r w:rsidR="00274FFD">
        <w:rPr>
          <w:color w:val="000000" w:themeColor="text1"/>
          <w:lang w:val="ro-RO" w:eastAsia="ro-MD"/>
        </w:rPr>
        <w:t>,</w:t>
      </w:r>
      <w:r w:rsidRPr="000B2CBE">
        <w:rPr>
          <w:color w:val="000000" w:themeColor="text1"/>
          <w:lang w:val="ro-RO" w:eastAsia="ro-MD"/>
        </w:rPr>
        <w:t xml:space="preserve"> cuvântul „aur” se substituie cu sintagma „lingouri de aur”;</w:t>
      </w:r>
    </w:p>
    <w:p w14:paraId="2A2A7940" w14:textId="4329E2FC" w:rsidR="00AB49F3" w:rsidRPr="000B2CBE" w:rsidRDefault="00E1208E" w:rsidP="008152E2">
      <w:pPr>
        <w:pStyle w:val="ListParagraph"/>
        <w:numPr>
          <w:ilvl w:val="2"/>
          <w:numId w:val="27"/>
        </w:numPr>
        <w:ind w:left="0" w:firstLine="567"/>
        <w:jc w:val="both"/>
        <w:rPr>
          <w:color w:val="000000" w:themeColor="text1"/>
          <w:lang w:val="ro-RO" w:eastAsia="ro-MD"/>
        </w:rPr>
      </w:pPr>
      <w:r w:rsidRPr="000B2CBE">
        <w:rPr>
          <w:color w:val="000000" w:themeColor="text1"/>
          <w:lang w:val="ro-RO" w:eastAsia="ro-MD"/>
        </w:rPr>
        <w:t>se completează cu subpunctul 9) cu următorul cuprins:</w:t>
      </w:r>
    </w:p>
    <w:p w14:paraId="47F606B4" w14:textId="0EA34475" w:rsidR="00E1208E" w:rsidRPr="000B2CBE" w:rsidRDefault="00E1208E" w:rsidP="00E1208E">
      <w:pPr>
        <w:jc w:val="both"/>
        <w:rPr>
          <w:color w:val="000000" w:themeColor="text1"/>
          <w:lang w:val="ro-RO" w:eastAsia="ro-MD"/>
        </w:rPr>
      </w:pPr>
      <w:r w:rsidRPr="000B2CBE">
        <w:rPr>
          <w:color w:val="000000" w:themeColor="text1"/>
          <w:lang w:val="ro-RO" w:eastAsia="ro-MD"/>
        </w:rPr>
        <w:t>„</w:t>
      </w:r>
      <w:r w:rsidR="007F1B7A" w:rsidRPr="000B2CBE">
        <w:rPr>
          <w:color w:val="000000" w:themeColor="text1"/>
          <w:lang w:val="ro-RO" w:eastAsia="ro-MD"/>
        </w:rPr>
        <w:t xml:space="preserve">9) poziții din securitizare care nu sunt poziții din </w:t>
      </w:r>
      <w:proofErr w:type="spellStart"/>
      <w:r w:rsidR="007F1B7A" w:rsidRPr="000B2CBE">
        <w:rPr>
          <w:color w:val="000000" w:themeColor="text1"/>
          <w:lang w:val="ro-RO" w:eastAsia="ro-MD"/>
        </w:rPr>
        <w:t>resecuritizare</w:t>
      </w:r>
      <w:proofErr w:type="spellEnd"/>
      <w:r w:rsidR="007F1B7A" w:rsidRPr="000B2CBE">
        <w:rPr>
          <w:color w:val="000000" w:themeColor="text1"/>
          <w:lang w:val="ro-RO" w:eastAsia="ro-MD"/>
        </w:rPr>
        <w:t xml:space="preserve"> și cărora li se aplică o pondere de risc de 100 % sau mai mică în conformitate cu </w:t>
      </w:r>
      <w:r w:rsidR="004F758A" w:rsidRPr="00453469">
        <w:rPr>
          <w:color w:val="000000" w:themeColor="text1"/>
          <w:lang w:val="ro-RO" w:eastAsia="ro-MD"/>
        </w:rPr>
        <w:t>Regulamentul nr. 221/2025 privind tratamentul prudențial al securitizărilor</w:t>
      </w:r>
      <w:r w:rsidR="007F1B7A" w:rsidRPr="000B2CBE">
        <w:rPr>
          <w:color w:val="000000" w:themeColor="text1"/>
          <w:lang w:val="ro-RO" w:eastAsia="ro-MD"/>
        </w:rPr>
        <w:t>.”.</w:t>
      </w:r>
    </w:p>
    <w:p w14:paraId="0327D67C" w14:textId="4E94BF05" w:rsidR="007C3CFF" w:rsidRPr="000B2CBE" w:rsidRDefault="00AF0A40" w:rsidP="00DD1675">
      <w:pPr>
        <w:pStyle w:val="ListParagraph"/>
        <w:numPr>
          <w:ilvl w:val="1"/>
          <w:numId w:val="27"/>
        </w:numPr>
        <w:tabs>
          <w:tab w:val="left" w:pos="567"/>
        </w:tabs>
        <w:spacing w:before="80"/>
        <w:ind w:left="0" w:firstLine="567"/>
        <w:jc w:val="both"/>
        <w:rPr>
          <w:color w:val="000000" w:themeColor="text1"/>
          <w:lang w:val="ro-MD"/>
        </w:rPr>
      </w:pPr>
      <w:r w:rsidRPr="000B2CBE">
        <w:rPr>
          <w:color w:val="000000" w:themeColor="text1"/>
          <w:lang w:val="ro-MD"/>
        </w:rPr>
        <w:t xml:space="preserve">Punctul  </w:t>
      </w:r>
      <w:r w:rsidR="00B71FB3" w:rsidRPr="000B2CBE">
        <w:rPr>
          <w:color w:val="000000" w:themeColor="text1"/>
          <w:lang w:val="ro-MD"/>
        </w:rPr>
        <w:t xml:space="preserve">26 </w:t>
      </w:r>
      <w:r w:rsidRPr="000B2CBE">
        <w:rPr>
          <w:color w:val="000000" w:themeColor="text1"/>
          <w:lang w:val="ro-MD"/>
        </w:rPr>
        <w:t>se completează cu subpunct</w:t>
      </w:r>
      <w:r w:rsidR="00B71FB3" w:rsidRPr="000B2CBE">
        <w:rPr>
          <w:color w:val="000000" w:themeColor="text1"/>
          <w:lang w:val="ro-MD"/>
        </w:rPr>
        <w:t>ul 4)</w:t>
      </w:r>
      <w:r w:rsidRPr="000B2CBE">
        <w:rPr>
          <w:color w:val="000000" w:themeColor="text1"/>
          <w:lang w:val="ro-MD"/>
        </w:rPr>
        <w:t xml:space="preserve"> </w:t>
      </w:r>
      <w:r w:rsidR="00445C23" w:rsidRPr="000B2CBE">
        <w:rPr>
          <w:color w:val="000000" w:themeColor="text1"/>
          <w:lang w:val="ro-MD"/>
        </w:rPr>
        <w:t>cu următorul cuprins:</w:t>
      </w:r>
    </w:p>
    <w:p w14:paraId="6306B3E8" w14:textId="0E97AA65" w:rsidR="00445C23" w:rsidRPr="000B2CBE" w:rsidRDefault="00445C23" w:rsidP="00C20516">
      <w:pPr>
        <w:jc w:val="both"/>
        <w:rPr>
          <w:color w:val="000000" w:themeColor="text1"/>
          <w:lang w:val="ro-MD"/>
        </w:rPr>
      </w:pPr>
      <w:r w:rsidRPr="000B2CBE">
        <w:rPr>
          <w:color w:val="000000" w:themeColor="text1"/>
          <w:lang w:val="ro-MD"/>
        </w:rPr>
        <w:t>„</w:t>
      </w:r>
      <w:r w:rsidR="00C20516" w:rsidRPr="000B2CBE">
        <w:rPr>
          <w:color w:val="000000" w:themeColor="text1"/>
          <w:lang w:val="ro-RO" w:eastAsia="ro-MD"/>
        </w:rPr>
        <w:t>4) titluri de datorie emise de administrații regionale sau de autorități locale, dacă expunerile față de acestea se tratează ca expuneri față de administrația centrală în a cărei jurisdicție sunt stabilite, în conformitate cu Regulamentul nr.111/2018</w:t>
      </w:r>
      <w:r w:rsidRPr="000B2CBE">
        <w:rPr>
          <w:color w:val="000000" w:themeColor="text1"/>
          <w:lang w:val="ro-RO" w:eastAsia="ro-MD"/>
        </w:rPr>
        <w:t>.”.</w:t>
      </w:r>
    </w:p>
    <w:p w14:paraId="40F6C8A7" w14:textId="1852EE91" w:rsidR="00442410" w:rsidRPr="000B2CBE" w:rsidRDefault="00442410" w:rsidP="002C0F98">
      <w:pPr>
        <w:pStyle w:val="ListParagraph"/>
        <w:numPr>
          <w:ilvl w:val="1"/>
          <w:numId w:val="27"/>
        </w:numPr>
        <w:tabs>
          <w:tab w:val="left" w:pos="567"/>
        </w:tabs>
        <w:spacing w:before="80"/>
        <w:ind w:left="0" w:firstLine="567"/>
        <w:jc w:val="both"/>
        <w:rPr>
          <w:color w:val="000000" w:themeColor="text1"/>
          <w:lang w:val="ro-RO" w:eastAsia="ro-MD"/>
        </w:rPr>
      </w:pPr>
      <w:r w:rsidRPr="000B2CBE">
        <w:rPr>
          <w:color w:val="000000" w:themeColor="text1"/>
          <w:lang w:val="ro-MD"/>
        </w:rPr>
        <w:t xml:space="preserve">La punctul </w:t>
      </w:r>
      <w:r w:rsidR="00C20516" w:rsidRPr="000B2CBE">
        <w:rPr>
          <w:color w:val="000000" w:themeColor="text1"/>
          <w:lang w:val="ro-MD"/>
        </w:rPr>
        <w:t>2</w:t>
      </w:r>
      <w:r w:rsidRPr="000B2CBE">
        <w:rPr>
          <w:color w:val="000000" w:themeColor="text1"/>
          <w:lang w:val="ro-MD"/>
        </w:rPr>
        <w:t xml:space="preserve">7, subpunctul </w:t>
      </w:r>
      <w:r w:rsidR="00C20516" w:rsidRPr="000B2CBE">
        <w:rPr>
          <w:color w:val="000000" w:themeColor="text1"/>
          <w:lang w:val="ro-MD"/>
        </w:rPr>
        <w:t>4</w:t>
      </w:r>
      <w:r w:rsidRPr="000B2CBE">
        <w:rPr>
          <w:color w:val="000000" w:themeColor="text1"/>
          <w:lang w:val="ro-MD"/>
        </w:rPr>
        <w:t xml:space="preserve">) </w:t>
      </w:r>
      <w:r w:rsidR="00C20516" w:rsidRPr="000B2CBE">
        <w:rPr>
          <w:color w:val="000000" w:themeColor="text1"/>
          <w:lang w:val="ro-MD"/>
        </w:rPr>
        <w:t xml:space="preserve">se </w:t>
      </w:r>
      <w:r w:rsidR="0006661B">
        <w:rPr>
          <w:color w:val="000000" w:themeColor="text1"/>
          <w:lang w:val="ro-MD"/>
        </w:rPr>
        <w:t>abrogă</w:t>
      </w:r>
      <w:r w:rsidRPr="000B2CBE">
        <w:rPr>
          <w:color w:val="000000" w:themeColor="text1"/>
          <w:lang w:val="ro-RO" w:eastAsia="ro-MD"/>
        </w:rPr>
        <w:t>.</w:t>
      </w:r>
    </w:p>
    <w:p w14:paraId="3CEEE861" w14:textId="46D960D2" w:rsidR="00442410" w:rsidRPr="000B2CBE" w:rsidRDefault="00C20516"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w:t>
      </w:r>
      <w:r w:rsidR="005419FF" w:rsidRPr="000B2CBE">
        <w:rPr>
          <w:color w:val="000000" w:themeColor="text1"/>
          <w:lang w:val="ro-MD"/>
        </w:rPr>
        <w:t xml:space="preserve">unctul </w:t>
      </w:r>
      <w:r w:rsidRPr="000B2CBE">
        <w:rPr>
          <w:color w:val="000000" w:themeColor="text1"/>
          <w:lang w:val="ro-MD"/>
        </w:rPr>
        <w:t>28</w:t>
      </w:r>
      <w:r w:rsidR="006952B7">
        <w:rPr>
          <w:color w:val="000000" w:themeColor="text1"/>
          <w:lang w:val="ro-MD"/>
        </w:rPr>
        <w:t>,</w:t>
      </w:r>
      <w:r w:rsidRPr="000B2CBE">
        <w:rPr>
          <w:color w:val="000000" w:themeColor="text1"/>
          <w:lang w:val="ro-MD"/>
        </w:rPr>
        <w:t xml:space="preserve"> </w:t>
      </w:r>
      <w:r w:rsidRPr="000B2CBE">
        <w:rPr>
          <w:color w:val="000000" w:themeColor="text1"/>
          <w:lang w:val="ro-RO"/>
        </w:rPr>
        <w:t>în preambul</w:t>
      </w:r>
      <w:r w:rsidR="006952B7">
        <w:rPr>
          <w:color w:val="000000" w:themeColor="text1"/>
          <w:lang w:val="ro-RO"/>
        </w:rPr>
        <w:t>,</w:t>
      </w:r>
      <w:r w:rsidRPr="000B2CBE">
        <w:rPr>
          <w:color w:val="000000" w:themeColor="text1"/>
          <w:lang w:val="ro-RO"/>
        </w:rPr>
        <w:t xml:space="preserve"> cuvintele „emise de alte bănci” se completează cu cuvintele „sau de societăți de investiții”</w:t>
      </w:r>
      <w:r w:rsidR="005419FF" w:rsidRPr="000B2CBE">
        <w:rPr>
          <w:color w:val="000000" w:themeColor="text1"/>
          <w:lang w:val="ro-MD"/>
        </w:rPr>
        <w:t>.</w:t>
      </w:r>
    </w:p>
    <w:p w14:paraId="608695EE" w14:textId="77777777" w:rsidR="00B168FB" w:rsidRPr="000B2CBE" w:rsidRDefault="00BC0E0D"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Se completează cu punctele 28</w:t>
      </w:r>
      <w:r w:rsidRPr="000B2CBE">
        <w:rPr>
          <w:color w:val="000000" w:themeColor="text1"/>
          <w:vertAlign w:val="superscript"/>
          <w:lang w:val="ro-MD"/>
        </w:rPr>
        <w:t>1</w:t>
      </w:r>
      <w:r w:rsidRPr="000B2CBE">
        <w:rPr>
          <w:color w:val="000000" w:themeColor="text1"/>
          <w:lang w:val="ro-MD"/>
        </w:rPr>
        <w:t>-</w:t>
      </w:r>
      <w:r w:rsidR="00B168FB" w:rsidRPr="000B2CBE">
        <w:rPr>
          <w:color w:val="000000" w:themeColor="text1"/>
          <w:lang w:val="ro-MD"/>
        </w:rPr>
        <w:t>28</w:t>
      </w:r>
      <w:r w:rsidR="00B168FB" w:rsidRPr="000B2CBE">
        <w:rPr>
          <w:color w:val="000000" w:themeColor="text1"/>
          <w:vertAlign w:val="superscript"/>
          <w:lang w:val="ro-MD"/>
        </w:rPr>
        <w:t>6</w:t>
      </w:r>
      <w:r w:rsidR="00B168FB" w:rsidRPr="000B2CBE">
        <w:rPr>
          <w:color w:val="000000" w:themeColor="text1"/>
          <w:lang w:val="ro-MD"/>
        </w:rPr>
        <w:t xml:space="preserve"> cu următorul cuprins:</w:t>
      </w:r>
    </w:p>
    <w:p w14:paraId="54D02FBC" w14:textId="313322FE" w:rsidR="00B168FB" w:rsidRPr="000B2CBE" w:rsidRDefault="00F45577" w:rsidP="00A86E98">
      <w:pPr>
        <w:jc w:val="both"/>
        <w:rPr>
          <w:color w:val="000000" w:themeColor="text1"/>
          <w:lang w:val="ro-RO" w:eastAsia="ro-MD"/>
        </w:rPr>
      </w:pPr>
      <w:r w:rsidRPr="000B2CBE">
        <w:rPr>
          <w:color w:val="000000" w:themeColor="text1"/>
          <w:lang w:val="ro-RO" w:eastAsia="ro-MD"/>
        </w:rPr>
        <w:t>„</w:t>
      </w:r>
      <w:r w:rsidR="00B168FB" w:rsidRPr="000B2CBE">
        <w:rPr>
          <w:b/>
          <w:bCs/>
          <w:color w:val="000000" w:themeColor="text1"/>
          <w:lang w:val="ro-RO" w:eastAsia="ro-MD"/>
        </w:rPr>
        <w:t>28</w:t>
      </w:r>
      <w:r w:rsidR="00B168FB" w:rsidRPr="000B2CBE">
        <w:rPr>
          <w:b/>
          <w:bCs/>
          <w:color w:val="000000" w:themeColor="text1"/>
          <w:vertAlign w:val="superscript"/>
          <w:lang w:val="ro-RO" w:eastAsia="ro-MD"/>
        </w:rPr>
        <w:t>1</w:t>
      </w:r>
      <w:r w:rsidR="00B168FB" w:rsidRPr="000B2CBE">
        <w:rPr>
          <w:b/>
          <w:bCs/>
          <w:color w:val="000000" w:themeColor="text1"/>
          <w:lang w:val="ro-RO" w:eastAsia="ro-MD"/>
        </w:rPr>
        <w:t>.</w:t>
      </w:r>
      <w:r w:rsidR="00B168FB" w:rsidRPr="009C332D">
        <w:rPr>
          <w:color w:val="000000" w:themeColor="text1"/>
          <w:lang w:val="ro-MD"/>
        </w:rPr>
        <w:t xml:space="preserve"> </w:t>
      </w:r>
      <w:r w:rsidR="00B168FB" w:rsidRPr="000B2CBE">
        <w:rPr>
          <w:color w:val="000000" w:themeColor="text1"/>
          <w:lang w:val="ro-RO" w:eastAsia="ro-MD"/>
        </w:rPr>
        <w:t>Băncile pot utiliza unitățile sau acțiunile deținute în OPC drept garanții reale eligibile, în cazul în care sunt îndeplinite cumulativ următoarele condiții:</w:t>
      </w:r>
    </w:p>
    <w:p w14:paraId="51C415EA" w14:textId="77777777" w:rsidR="00B168FB" w:rsidRPr="000B2CBE" w:rsidRDefault="00B168FB" w:rsidP="00A86E98">
      <w:pPr>
        <w:ind w:firstLine="567"/>
        <w:jc w:val="both"/>
        <w:rPr>
          <w:color w:val="000000" w:themeColor="text1"/>
          <w:lang w:val="ro-RO" w:eastAsia="ro-MD"/>
        </w:rPr>
      </w:pPr>
      <w:r w:rsidRPr="000B2CBE">
        <w:rPr>
          <w:color w:val="000000" w:themeColor="text1"/>
          <w:lang w:val="ro-RO" w:eastAsia="ro-MD"/>
        </w:rPr>
        <w:t>1) unitățile sau acțiunile au o cotație publică zilnică a prețului;</w:t>
      </w:r>
    </w:p>
    <w:p w14:paraId="6A898AF2" w14:textId="77777777" w:rsidR="00B168FB" w:rsidRPr="000B2CBE" w:rsidRDefault="00B168FB" w:rsidP="00A86E98">
      <w:pPr>
        <w:ind w:firstLine="567"/>
        <w:jc w:val="both"/>
        <w:rPr>
          <w:color w:val="000000" w:themeColor="text1"/>
          <w:lang w:val="ro-RO" w:eastAsia="ro-MD"/>
        </w:rPr>
      </w:pPr>
      <w:r w:rsidRPr="000B2CBE">
        <w:rPr>
          <w:color w:val="000000" w:themeColor="text1"/>
          <w:lang w:val="ro-RO" w:eastAsia="ro-MD"/>
        </w:rPr>
        <w:t>2) OPC se limitează la investiții în instrumente care sunt eligibile pentru recunoaștere în temeiul punctelor 25 și 28;</w:t>
      </w:r>
    </w:p>
    <w:p w14:paraId="39A4570E" w14:textId="18348085" w:rsidR="00B168FB" w:rsidRPr="000B2CBE" w:rsidRDefault="00B168FB" w:rsidP="00A86E98">
      <w:pPr>
        <w:ind w:firstLine="567"/>
        <w:jc w:val="both"/>
        <w:rPr>
          <w:color w:val="000000" w:themeColor="text1"/>
          <w:lang w:val="ro-RO" w:eastAsia="ro-MD"/>
        </w:rPr>
      </w:pPr>
      <w:r w:rsidRPr="000B2CBE">
        <w:rPr>
          <w:color w:val="000000" w:themeColor="text1"/>
          <w:lang w:val="ro-RO" w:eastAsia="ro-MD"/>
        </w:rPr>
        <w:t>3) OPC îndeplinesc condițiile pentru stabilirea valorii expunerii ponderate la risc pentru expunerile unui OPC prevăzute  Regulamentul nr.111/2018.</w:t>
      </w:r>
    </w:p>
    <w:p w14:paraId="70AC9890" w14:textId="668D2BF0" w:rsidR="00B168FB" w:rsidRPr="000B2CBE" w:rsidRDefault="00B168FB" w:rsidP="00A86E98">
      <w:pPr>
        <w:jc w:val="both"/>
        <w:rPr>
          <w:color w:val="000000" w:themeColor="text1"/>
          <w:lang w:val="ro-RO" w:eastAsia="ro-MD"/>
        </w:rPr>
      </w:pPr>
      <w:r w:rsidRPr="000B2CBE">
        <w:rPr>
          <w:b/>
          <w:bCs/>
          <w:color w:val="000000" w:themeColor="text1"/>
          <w:lang w:val="ro-RO" w:eastAsia="ro-MD"/>
        </w:rPr>
        <w:t>28</w:t>
      </w:r>
      <w:r w:rsidRPr="000B2CBE">
        <w:rPr>
          <w:b/>
          <w:bCs/>
          <w:color w:val="000000" w:themeColor="text1"/>
          <w:vertAlign w:val="superscript"/>
          <w:lang w:val="ro-RO" w:eastAsia="ro-MD"/>
        </w:rPr>
        <w:t>2</w:t>
      </w:r>
      <w:r w:rsidRPr="000B2CBE">
        <w:rPr>
          <w:b/>
          <w:bCs/>
          <w:color w:val="000000" w:themeColor="text1"/>
          <w:lang w:val="ro-RO" w:eastAsia="ro-MD"/>
        </w:rPr>
        <w:t>.</w:t>
      </w:r>
      <w:r w:rsidRPr="000B2CBE">
        <w:rPr>
          <w:color w:val="000000" w:themeColor="text1"/>
          <w:lang w:val="ro-RO" w:eastAsia="ro-MD"/>
        </w:rPr>
        <w:t xml:space="preserve"> În cazul în care un OPC investește în acțiunile sau unitățile altui OPC, condițiile prevăzute la subpunctele 1)-3) de la punctul 28</w:t>
      </w:r>
      <w:r w:rsidRPr="000B2CBE">
        <w:rPr>
          <w:color w:val="000000" w:themeColor="text1"/>
          <w:vertAlign w:val="superscript"/>
          <w:lang w:val="ro-RO" w:eastAsia="ro-MD"/>
        </w:rPr>
        <w:t>1</w:t>
      </w:r>
      <w:r w:rsidRPr="000B2CBE">
        <w:rPr>
          <w:color w:val="000000" w:themeColor="text1"/>
          <w:lang w:val="ro-RO" w:eastAsia="ro-MD"/>
        </w:rPr>
        <w:t xml:space="preserve"> se aplică, de asemenea, oricărui astfel de OPC-suport.</w:t>
      </w:r>
      <w:r w:rsidRPr="000B2CBE">
        <w:rPr>
          <w:color w:val="000000" w:themeColor="text1"/>
          <w:sz w:val="18"/>
          <w:szCs w:val="18"/>
          <w:highlight w:val="lightGray"/>
          <w:lang w:val="ro-RO" w:eastAsia="ro-MD"/>
        </w:rPr>
        <w:t xml:space="preserve"> </w:t>
      </w:r>
    </w:p>
    <w:p w14:paraId="2865BC68" w14:textId="6E8B06B4" w:rsidR="00B168FB" w:rsidRPr="000B2CBE" w:rsidRDefault="00B168FB" w:rsidP="00A86E98">
      <w:pPr>
        <w:jc w:val="both"/>
        <w:rPr>
          <w:color w:val="000000" w:themeColor="text1"/>
          <w:lang w:val="ro-RO" w:eastAsia="ro-MD"/>
        </w:rPr>
      </w:pPr>
      <w:r w:rsidRPr="000B2CBE">
        <w:rPr>
          <w:b/>
          <w:bCs/>
          <w:color w:val="000000" w:themeColor="text1"/>
          <w:lang w:val="ro-RO" w:eastAsia="ro-MD"/>
        </w:rPr>
        <w:t>28</w:t>
      </w:r>
      <w:r w:rsidRPr="000B2CBE">
        <w:rPr>
          <w:b/>
          <w:bCs/>
          <w:color w:val="000000" w:themeColor="text1"/>
          <w:vertAlign w:val="superscript"/>
          <w:lang w:val="ro-RO" w:eastAsia="ro-MD"/>
        </w:rPr>
        <w:t>3</w:t>
      </w:r>
      <w:r w:rsidRPr="000B2CBE">
        <w:rPr>
          <w:b/>
          <w:bCs/>
          <w:color w:val="000000" w:themeColor="text1"/>
          <w:lang w:val="ro-RO" w:eastAsia="ro-MD"/>
        </w:rPr>
        <w:t xml:space="preserve">. </w:t>
      </w:r>
      <w:r w:rsidRPr="000B2CBE">
        <w:rPr>
          <w:color w:val="000000" w:themeColor="text1"/>
          <w:lang w:val="ro-RO" w:eastAsia="ro-MD"/>
        </w:rPr>
        <w:t>Utilizarea de către un OPC a instrumentelor financiare derivate pentru acoperirea riscurilor aferente investițiilor permise nu afectează eligibilitatea ca garanții reale a unităților sau a acțiunilor deținute în acest organism.</w:t>
      </w:r>
    </w:p>
    <w:p w14:paraId="61F9B16E" w14:textId="77777777" w:rsidR="00B168FB" w:rsidRPr="000B2CBE" w:rsidRDefault="00B168FB" w:rsidP="00A86E98">
      <w:pPr>
        <w:jc w:val="both"/>
        <w:rPr>
          <w:color w:val="000000" w:themeColor="text1"/>
          <w:lang w:val="ro-RO" w:eastAsia="ro-MD"/>
        </w:rPr>
      </w:pPr>
      <w:r w:rsidRPr="000B2CBE">
        <w:rPr>
          <w:b/>
          <w:bCs/>
          <w:color w:val="000000" w:themeColor="text1"/>
          <w:lang w:val="ro-RO" w:eastAsia="ro-MD"/>
        </w:rPr>
        <w:t>28</w:t>
      </w:r>
      <w:r w:rsidRPr="000B2CBE">
        <w:rPr>
          <w:b/>
          <w:bCs/>
          <w:color w:val="000000" w:themeColor="text1"/>
          <w:vertAlign w:val="superscript"/>
          <w:lang w:val="ro-RO" w:eastAsia="ro-MD"/>
        </w:rPr>
        <w:t>4</w:t>
      </w:r>
      <w:r w:rsidRPr="000B2CBE">
        <w:rPr>
          <w:b/>
          <w:bCs/>
          <w:color w:val="000000" w:themeColor="text1"/>
          <w:lang w:val="ro-RO" w:eastAsia="ro-MD"/>
        </w:rPr>
        <w:t>.</w:t>
      </w:r>
      <w:r w:rsidRPr="000B2CBE">
        <w:rPr>
          <w:color w:val="000000" w:themeColor="text1"/>
          <w:lang w:val="ro-RO" w:eastAsia="ro-MD"/>
        </w:rPr>
        <w:t xml:space="preserve"> În sensul punctelor 28</w:t>
      </w:r>
      <w:r w:rsidRPr="000B2CBE">
        <w:rPr>
          <w:color w:val="000000" w:themeColor="text1"/>
          <w:vertAlign w:val="superscript"/>
          <w:lang w:val="ro-RO" w:eastAsia="ro-MD"/>
        </w:rPr>
        <w:t>1</w:t>
      </w:r>
      <w:r w:rsidRPr="000B2CBE">
        <w:rPr>
          <w:color w:val="000000" w:themeColor="text1"/>
          <w:lang w:val="ro-RO" w:eastAsia="ro-MD"/>
        </w:rPr>
        <w:t>-28</w:t>
      </w:r>
      <w:r w:rsidRPr="000B2CBE">
        <w:rPr>
          <w:color w:val="000000" w:themeColor="text1"/>
          <w:vertAlign w:val="superscript"/>
          <w:lang w:val="ro-RO" w:eastAsia="ro-MD"/>
        </w:rPr>
        <w:t>3</w:t>
      </w:r>
      <w:r w:rsidRPr="000B2CBE">
        <w:rPr>
          <w:color w:val="000000" w:themeColor="text1"/>
          <w:lang w:val="ro-RO" w:eastAsia="ro-MD"/>
        </w:rPr>
        <w:t>, dacă un OPC (denumit în continuare „OPC-ul inițial”) sau oricare dintre OPC-urile sale suport nu se limitează să investească în instrumente care sunt eligibile în temeiul punctelor 25-28, se aplică următoarele dispoziții:</w:t>
      </w:r>
    </w:p>
    <w:p w14:paraId="4318A606" w14:textId="7820F93E" w:rsidR="00B168FB" w:rsidRPr="000B2CBE" w:rsidRDefault="00B168FB" w:rsidP="00A86E98">
      <w:pPr>
        <w:ind w:firstLine="567"/>
        <w:jc w:val="both"/>
        <w:rPr>
          <w:color w:val="000000" w:themeColor="text1"/>
          <w:lang w:val="ro-RO" w:eastAsia="ro-MD"/>
        </w:rPr>
      </w:pPr>
      <w:r w:rsidRPr="000B2CBE">
        <w:rPr>
          <w:color w:val="000000" w:themeColor="text1"/>
          <w:lang w:val="ro-RO" w:eastAsia="ro-MD"/>
        </w:rPr>
        <w:t xml:space="preserve">1) dacă băncile aplică </w:t>
      </w:r>
      <w:r w:rsidRPr="0023120D">
        <w:rPr>
          <w:color w:val="000000" w:themeColor="text1"/>
          <w:lang w:val="ro-RO" w:eastAsia="ro-MD"/>
        </w:rPr>
        <w:t>abordarea transparentă de tip look-</w:t>
      </w:r>
      <w:proofErr w:type="spellStart"/>
      <w:r w:rsidRPr="0023120D">
        <w:rPr>
          <w:color w:val="000000" w:themeColor="text1"/>
          <w:lang w:val="ro-RO" w:eastAsia="ro-MD"/>
        </w:rPr>
        <w:t>through</w:t>
      </w:r>
      <w:proofErr w:type="spellEnd"/>
      <w:r w:rsidRPr="000B2CBE">
        <w:rPr>
          <w:color w:val="000000" w:themeColor="text1"/>
          <w:lang w:val="ro-RO" w:eastAsia="ro-MD"/>
        </w:rPr>
        <w:t xml:space="preserve"> menționată în</w:t>
      </w:r>
      <w:r w:rsidRPr="009C332D">
        <w:rPr>
          <w:color w:val="000000" w:themeColor="text1"/>
          <w:lang w:val="ro-RO" w:eastAsia="ro-MD"/>
        </w:rPr>
        <w:t xml:space="preserve"> </w:t>
      </w:r>
      <w:r w:rsidRPr="000B2CBE">
        <w:rPr>
          <w:color w:val="000000" w:themeColor="text1"/>
          <w:lang w:val="ro-RO" w:eastAsia="ro-MD"/>
        </w:rPr>
        <w:t>Regulamentul nr.111/2018 sau actul normativ al Băncii Naționale a Moldovei aferent tratamentului riscului de credit pentru bănci potrivit abordării bazate pe modele interne de rating pentru expuneri directe față de un OPC, acestea pot utiliza unități sau acțiuni pe care le dețin în respectivul OPC drept garanții reale până la o sumă egală cu valoarea instrumentelor deținute de respectivul OPC care sunt eligibile în temeiul punctelor 25-28 din prezentul regulament;</w:t>
      </w:r>
    </w:p>
    <w:p w14:paraId="23A5FE96" w14:textId="046E20FC" w:rsidR="00B168FB" w:rsidRPr="000B2CBE" w:rsidRDefault="00B168FB" w:rsidP="00B168FB">
      <w:pPr>
        <w:ind w:firstLine="567"/>
        <w:jc w:val="both"/>
        <w:rPr>
          <w:color w:val="000000" w:themeColor="text1"/>
          <w:lang w:val="ro-RO" w:eastAsia="ro-MD"/>
        </w:rPr>
      </w:pPr>
      <w:r w:rsidRPr="000B2CBE">
        <w:rPr>
          <w:color w:val="000000" w:themeColor="text1"/>
          <w:lang w:val="ro-RO" w:eastAsia="ro-MD"/>
        </w:rPr>
        <w:t>2) dacă băncile aplică abordarea pe bază de mandat menționată în Regulamentul Nr.111/2018</w:t>
      </w:r>
      <w:r w:rsidR="00F45577" w:rsidRPr="000B2CBE">
        <w:rPr>
          <w:color w:val="000000" w:themeColor="text1"/>
          <w:lang w:val="ro-RO" w:eastAsia="ro-MD"/>
        </w:rPr>
        <w:t xml:space="preserve"> </w:t>
      </w:r>
      <w:r w:rsidRPr="0023120D">
        <w:rPr>
          <w:color w:val="000000" w:themeColor="text1"/>
          <w:lang w:val="ro-RO" w:eastAsia="ro-MD"/>
        </w:rPr>
        <w:t>sau actul normativ</w:t>
      </w:r>
      <w:r w:rsidRPr="000B2CBE">
        <w:rPr>
          <w:color w:val="000000" w:themeColor="text1"/>
          <w:lang w:val="ro-RO" w:eastAsia="ro-MD"/>
        </w:rPr>
        <w:t xml:space="preserve"> al Băncii Naționale a Moldovei aferent tratamentului riscului de credit pentru bănci potrivit abordării bazate pe modele interne de rating pentru expuneri directe față de un OPC, acestea pot utiliza unități sau acțiuni pe care le dețin în respectivul OPC drept garanții reale până la o sumă </w:t>
      </w:r>
      <w:r w:rsidRPr="000B2CBE">
        <w:rPr>
          <w:color w:val="000000" w:themeColor="text1"/>
          <w:lang w:val="ro-RO" w:eastAsia="ro-MD"/>
        </w:rPr>
        <w:lastRenderedPageBreak/>
        <w:t>egală cu valoarea instrumentelor deținute de respectivul OPC care sunt eligibile în temeiul punctelor 25 și 28, presupunând că OPC-ul respectiv sau oricare dintre OPC-urile sale suport au investit în instrumente neeligibile în măsura maximă permisă de mandatele lor.</w:t>
      </w:r>
    </w:p>
    <w:p w14:paraId="32248221" w14:textId="2EBD1224" w:rsidR="00B168FB" w:rsidRPr="000B2CBE" w:rsidRDefault="00B168FB" w:rsidP="00A86E98">
      <w:pPr>
        <w:jc w:val="both"/>
        <w:rPr>
          <w:color w:val="000000" w:themeColor="text1"/>
          <w:lang w:val="ro-RO" w:eastAsia="ro-MD"/>
        </w:rPr>
      </w:pPr>
      <w:r w:rsidRPr="000B2CBE">
        <w:rPr>
          <w:b/>
          <w:bCs/>
          <w:color w:val="000000" w:themeColor="text1"/>
          <w:lang w:val="ro-RO" w:eastAsia="ro-MD"/>
        </w:rPr>
        <w:t>28</w:t>
      </w:r>
      <w:r w:rsidRPr="000B2CBE">
        <w:rPr>
          <w:b/>
          <w:bCs/>
          <w:color w:val="000000" w:themeColor="text1"/>
          <w:vertAlign w:val="superscript"/>
          <w:lang w:val="ro-RO" w:eastAsia="ro-MD"/>
        </w:rPr>
        <w:t>5</w:t>
      </w:r>
      <w:r w:rsidRPr="000B2CBE">
        <w:rPr>
          <w:b/>
          <w:bCs/>
          <w:color w:val="000000" w:themeColor="text1"/>
          <w:lang w:val="ro-RO" w:eastAsia="ro-MD"/>
        </w:rPr>
        <w:t>.</w:t>
      </w:r>
      <w:r w:rsidRPr="000B2CBE">
        <w:rPr>
          <w:color w:val="000000" w:themeColor="text1"/>
          <w:lang w:val="ro-RO" w:eastAsia="ro-MD"/>
        </w:rPr>
        <w:t xml:space="preserve"> În cazul în care un OPC-suport are el însuși organisme de plasament colectiv-suport, băncile pot utiliza unități sau acțiuni pe care le dețin în OPC-ul inițial drept garanții reale eligibile cu condiția să aplice metodologia prevăzută la punctul 28</w:t>
      </w:r>
      <w:r w:rsidRPr="000B2CBE">
        <w:rPr>
          <w:color w:val="000000" w:themeColor="text1"/>
          <w:vertAlign w:val="superscript"/>
          <w:lang w:val="ro-RO" w:eastAsia="ro-MD"/>
        </w:rPr>
        <w:t>4</w:t>
      </w:r>
      <w:r w:rsidRPr="000B2CBE">
        <w:rPr>
          <w:color w:val="000000" w:themeColor="text1"/>
          <w:lang w:val="ro-RO" w:eastAsia="ro-MD"/>
        </w:rPr>
        <w:t>.</w:t>
      </w:r>
    </w:p>
    <w:p w14:paraId="3DA10A53" w14:textId="77777777" w:rsidR="00B168FB" w:rsidRPr="000B2CBE" w:rsidRDefault="00B168FB" w:rsidP="00A86E98">
      <w:pPr>
        <w:jc w:val="both"/>
        <w:rPr>
          <w:color w:val="000000" w:themeColor="text1"/>
          <w:lang w:val="ro-RO" w:eastAsia="ro-MD"/>
        </w:rPr>
      </w:pPr>
      <w:r w:rsidRPr="000B2CBE">
        <w:rPr>
          <w:b/>
          <w:bCs/>
          <w:color w:val="000000" w:themeColor="text1"/>
          <w:lang w:val="ro-RO" w:eastAsia="ro-MD"/>
        </w:rPr>
        <w:t>28</w:t>
      </w:r>
      <w:r w:rsidRPr="000B2CBE">
        <w:rPr>
          <w:b/>
          <w:bCs/>
          <w:color w:val="000000" w:themeColor="text1"/>
          <w:vertAlign w:val="superscript"/>
          <w:lang w:val="ro-RO" w:eastAsia="ro-MD"/>
        </w:rPr>
        <w:t>6</w:t>
      </w:r>
      <w:r w:rsidRPr="000B2CBE">
        <w:rPr>
          <w:b/>
          <w:bCs/>
          <w:color w:val="000000" w:themeColor="text1"/>
          <w:lang w:val="ro-RO" w:eastAsia="ro-MD"/>
        </w:rPr>
        <w:t>.</w:t>
      </w:r>
      <w:r w:rsidRPr="000B2CBE">
        <w:rPr>
          <w:color w:val="000000" w:themeColor="text1"/>
          <w:lang w:val="ro-RO" w:eastAsia="ro-MD"/>
        </w:rPr>
        <w:t xml:space="preserve"> În cazul în care activele neeligibile pot avea o valoare negativă din cauza datoriilor sau a datoriilor contingente rezultând din dreptul de proprietate, băncile trebuie să procedeze după cum urmează:</w:t>
      </w:r>
    </w:p>
    <w:p w14:paraId="6615DFED" w14:textId="77777777" w:rsidR="00B168FB" w:rsidRPr="000B2CBE" w:rsidRDefault="00B168FB" w:rsidP="00B168FB">
      <w:pPr>
        <w:ind w:firstLine="567"/>
        <w:jc w:val="both"/>
        <w:rPr>
          <w:color w:val="000000" w:themeColor="text1"/>
          <w:lang w:val="ro-RO" w:eastAsia="ro-MD"/>
        </w:rPr>
      </w:pPr>
      <w:r w:rsidRPr="000B2CBE">
        <w:rPr>
          <w:color w:val="000000" w:themeColor="text1"/>
          <w:lang w:val="ro-RO" w:eastAsia="ro-MD"/>
        </w:rPr>
        <w:t>1) să calculeze valoarea totală a activelor neeligibile;</w:t>
      </w:r>
    </w:p>
    <w:p w14:paraId="3ECB810E" w14:textId="5445D906" w:rsidR="00B168FB" w:rsidRPr="000B2CBE" w:rsidRDefault="00B168FB" w:rsidP="0011444E">
      <w:pPr>
        <w:tabs>
          <w:tab w:val="left" w:pos="567"/>
        </w:tabs>
        <w:ind w:firstLine="567"/>
        <w:jc w:val="both"/>
        <w:rPr>
          <w:color w:val="000000" w:themeColor="text1"/>
          <w:lang w:val="ro-MD"/>
        </w:rPr>
      </w:pPr>
      <w:r w:rsidRPr="000B2CBE">
        <w:rPr>
          <w:color w:val="000000" w:themeColor="text1"/>
          <w:lang w:val="ro-RO" w:eastAsia="ro-MD"/>
        </w:rPr>
        <w:t>2) dacă suma obținută conform subpunctului 1) este negativă, să scadă valoarea absolută a acestei sume din valoarea totală a activelor eligibile.”.</w:t>
      </w:r>
    </w:p>
    <w:p w14:paraId="0EA806DF" w14:textId="77777777" w:rsidR="00BD35F9" w:rsidRPr="000B2CBE" w:rsidRDefault="00BD35F9"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P</w:t>
      </w:r>
      <w:r w:rsidR="00F9105A" w:rsidRPr="000B2CBE">
        <w:rPr>
          <w:color w:val="000000" w:themeColor="text1"/>
          <w:lang w:val="ro-MD"/>
        </w:rPr>
        <w:t xml:space="preserve">unctul </w:t>
      </w:r>
      <w:r w:rsidRPr="000B2CBE">
        <w:rPr>
          <w:color w:val="000000" w:themeColor="text1"/>
          <w:lang w:val="ro-MD"/>
        </w:rPr>
        <w:t>33 va avea următorul cuprins:</w:t>
      </w:r>
    </w:p>
    <w:p w14:paraId="56D5CE03" w14:textId="657BAE53" w:rsidR="00BD35F9" w:rsidRPr="000B2CBE" w:rsidRDefault="00BD35F9" w:rsidP="00BD35F9">
      <w:pPr>
        <w:jc w:val="both"/>
        <w:rPr>
          <w:color w:val="000000" w:themeColor="text1"/>
          <w:lang w:val="ro-RO" w:eastAsia="ro-MD"/>
        </w:rPr>
      </w:pPr>
      <w:r w:rsidRPr="000B2CBE">
        <w:rPr>
          <w:color w:val="000000" w:themeColor="text1"/>
          <w:lang w:val="ro-MD"/>
        </w:rPr>
        <w:t>„</w:t>
      </w:r>
      <w:r w:rsidRPr="000B2CBE">
        <w:rPr>
          <w:b/>
          <w:bCs/>
          <w:color w:val="000000" w:themeColor="text1"/>
          <w:lang w:val="ro-MD"/>
        </w:rPr>
        <w:t>33.</w:t>
      </w:r>
      <w:r w:rsidRPr="000B2CBE">
        <w:rPr>
          <w:color w:val="000000" w:themeColor="text1"/>
          <w:lang w:val="ro-MD"/>
        </w:rPr>
        <w:t xml:space="preserve"> </w:t>
      </w:r>
      <w:r w:rsidRPr="000B2CBE">
        <w:rPr>
          <w:color w:val="000000" w:themeColor="text1"/>
          <w:lang w:val="ro-RO" w:eastAsia="ro-MD"/>
        </w:rPr>
        <w:t xml:space="preserve">În cazul în care OPC sau oricare OPC-suport nu este limitat la investiții în instrumente care sunt eligibile pentru recunoaștere în temeiul punctelor 25 și 28 și la investiții în elementele menționate la punctul 30 subpunctul 1), se aplică următoarele dispoziții: </w:t>
      </w:r>
    </w:p>
    <w:p w14:paraId="634D2493" w14:textId="7EE0D852" w:rsidR="00BD35F9" w:rsidRPr="000B2CBE" w:rsidRDefault="00BD35F9" w:rsidP="00BD35F9">
      <w:pPr>
        <w:ind w:firstLine="567"/>
        <w:jc w:val="both"/>
        <w:rPr>
          <w:color w:val="000000" w:themeColor="text1"/>
          <w:lang w:val="ro-RO" w:eastAsia="ro-MD"/>
        </w:rPr>
      </w:pPr>
      <w:r w:rsidRPr="000B2CBE">
        <w:rPr>
          <w:color w:val="000000" w:themeColor="text1"/>
          <w:lang w:val="ro-RO" w:eastAsia="ro-MD"/>
        </w:rPr>
        <w:t xml:space="preserve">1) dacă băncile aplică </w:t>
      </w:r>
      <w:r w:rsidRPr="0023120D">
        <w:rPr>
          <w:color w:val="000000" w:themeColor="text1"/>
          <w:lang w:val="ro-RO" w:eastAsia="ro-MD"/>
        </w:rPr>
        <w:t>abordarea transparentă de tip look-</w:t>
      </w:r>
      <w:proofErr w:type="spellStart"/>
      <w:r w:rsidRPr="0023120D">
        <w:rPr>
          <w:color w:val="000000" w:themeColor="text1"/>
          <w:lang w:val="ro-RO" w:eastAsia="ro-MD"/>
        </w:rPr>
        <w:t>through</w:t>
      </w:r>
      <w:proofErr w:type="spellEnd"/>
      <w:r w:rsidRPr="0023120D">
        <w:rPr>
          <w:color w:val="000000" w:themeColor="text1"/>
          <w:lang w:val="ro-RO" w:eastAsia="ro-MD"/>
        </w:rPr>
        <w:t xml:space="preserve"> menționată </w:t>
      </w:r>
      <w:r w:rsidR="00955DC5" w:rsidRPr="0023120D">
        <w:rPr>
          <w:color w:val="000000" w:themeColor="text1"/>
          <w:lang w:val="ro-RO" w:eastAsia="ro-MD"/>
        </w:rPr>
        <w:t xml:space="preserve">în </w:t>
      </w:r>
      <w:r w:rsidRPr="0023120D">
        <w:rPr>
          <w:color w:val="000000" w:themeColor="text1"/>
          <w:lang w:val="ro-RO" w:eastAsia="ro-MD"/>
        </w:rPr>
        <w:t>Regulamentul nr.111/2018</w:t>
      </w:r>
      <w:r w:rsidRPr="000B2CBE">
        <w:rPr>
          <w:color w:val="000000" w:themeColor="text1"/>
          <w:lang w:val="ro-RO" w:eastAsia="ro-MD"/>
        </w:rPr>
        <w:t xml:space="preserve"> sau </w:t>
      </w:r>
      <w:r w:rsidRPr="0023120D">
        <w:rPr>
          <w:color w:val="000000" w:themeColor="text1"/>
          <w:lang w:val="ro-RO" w:eastAsia="ro-MD"/>
        </w:rPr>
        <w:t>actul normativ</w:t>
      </w:r>
      <w:r w:rsidRPr="000B2CBE">
        <w:rPr>
          <w:color w:val="000000" w:themeColor="text1"/>
          <w:lang w:val="ro-RO" w:eastAsia="ro-MD"/>
        </w:rPr>
        <w:t xml:space="preserve"> al Băncii Naționale a Moldovei aferent tratamentului riscului de credit pentru bănci potrivit abordării bazate pe modele interne de rating pot utiliza unitățile sau acțiunile pe care le dețin în acest OPC drept garanții reale până la o sumă egală cu valoarea instrumentelor care sunt eligibile în temeiul punctelor 25 și 28 și a instrumentelor menționate la punctul 30 subpunctul 1); </w:t>
      </w:r>
    </w:p>
    <w:p w14:paraId="38A43AAA" w14:textId="559C90B1" w:rsidR="00A70022" w:rsidRPr="000B2CBE" w:rsidRDefault="00BD35F9" w:rsidP="00BD35F9">
      <w:pPr>
        <w:tabs>
          <w:tab w:val="left" w:pos="567"/>
        </w:tabs>
        <w:spacing w:before="80"/>
        <w:ind w:firstLine="567"/>
        <w:jc w:val="both"/>
        <w:rPr>
          <w:color w:val="000000" w:themeColor="text1"/>
          <w:lang w:val="ro-MD"/>
        </w:rPr>
      </w:pPr>
      <w:r w:rsidRPr="000B2CBE">
        <w:rPr>
          <w:color w:val="000000" w:themeColor="text1"/>
          <w:lang w:val="ro-RO" w:eastAsia="ro-MD"/>
        </w:rPr>
        <w:t xml:space="preserve">2) dacă băncile aplică abordarea pe bază de mandat menționată </w:t>
      </w:r>
      <w:r w:rsidR="00AD3235">
        <w:rPr>
          <w:color w:val="000000" w:themeColor="text1"/>
          <w:lang w:val="ro-RO" w:eastAsia="ro-MD"/>
        </w:rPr>
        <w:t xml:space="preserve">în </w:t>
      </w:r>
      <w:r w:rsidRPr="000B2CBE">
        <w:rPr>
          <w:color w:val="000000" w:themeColor="text1"/>
          <w:lang w:val="ro-RO" w:eastAsia="ro-MD"/>
        </w:rPr>
        <w:t xml:space="preserve">Regulamentul nr.111/2018 </w:t>
      </w:r>
      <w:r w:rsidRPr="0023120D">
        <w:rPr>
          <w:color w:val="000000" w:themeColor="text1"/>
          <w:lang w:val="ro-RO" w:eastAsia="ro-MD"/>
        </w:rPr>
        <w:t>sau actul normativ</w:t>
      </w:r>
      <w:r w:rsidRPr="000B2CBE">
        <w:rPr>
          <w:color w:val="000000" w:themeColor="text1"/>
          <w:lang w:val="ro-RO" w:eastAsia="ro-MD"/>
        </w:rPr>
        <w:t xml:space="preserve"> al Băncii Naționale a Moldovei aferent tratamentului riscului de credit pentru bănci potrivit abordării bazate pe modele interne de rating pentru expuneri directe față de un OPC, acestea pot utiliza unități sau acțiuni pe care le dețin în respectivul OPC drept garanții reale până la o sumă egală cu valoarea instrumentelor deținute de respectivul OPC care sunt eligibile în temeiul punctelor 25 și 28 și a instrumentelor menționate la punctul 30 subpunctul 1) presupunând că acest OPC sau oricare din OPC-urile-suport ale acestuia au investit în active neeligibile în măsura maximă permisă de mandatele lor.</w:t>
      </w:r>
      <w:r w:rsidR="00F9105A" w:rsidRPr="000B2CBE">
        <w:rPr>
          <w:color w:val="000000" w:themeColor="text1"/>
          <w:lang w:val="ro-MD"/>
        </w:rPr>
        <w:t>”.</w:t>
      </w:r>
    </w:p>
    <w:p w14:paraId="3FC6ABEB" w14:textId="4EE3B886" w:rsidR="00BD35F9" w:rsidRPr="000B2CBE" w:rsidRDefault="000374C5"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punctul 34</w:t>
      </w:r>
      <w:r w:rsidR="006952B7">
        <w:rPr>
          <w:color w:val="000000" w:themeColor="text1"/>
          <w:lang w:val="ro-MD"/>
        </w:rPr>
        <w:t>,</w:t>
      </w:r>
      <w:r w:rsidRPr="000B2CBE">
        <w:rPr>
          <w:color w:val="000000" w:themeColor="text1"/>
          <w:lang w:val="ro-MD"/>
        </w:rPr>
        <w:t xml:space="preserve"> cuvintele „activele” și „activelor” se substituie cu cuvintele „instrumentele” și respectiv „instrumentelor”.</w:t>
      </w:r>
    </w:p>
    <w:p w14:paraId="58EFC7A6" w14:textId="0CC43A10" w:rsidR="001221A2" w:rsidRPr="000B2CBE" w:rsidRDefault="001221A2"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După secțiunea a 4-a din capitolul III, se completează cu secțiunea a 4</w:t>
      </w:r>
      <w:r w:rsidRPr="000B2CBE">
        <w:rPr>
          <w:color w:val="000000" w:themeColor="text1"/>
          <w:vertAlign w:val="superscript"/>
          <w:lang w:val="ro-MD"/>
        </w:rPr>
        <w:t>1</w:t>
      </w:r>
      <w:r w:rsidRPr="000B2CBE">
        <w:rPr>
          <w:color w:val="000000" w:themeColor="text1"/>
          <w:lang w:val="ro-MD"/>
        </w:rPr>
        <w:t>-a cu următorul cuprins:</w:t>
      </w:r>
    </w:p>
    <w:p w14:paraId="5BBD09B5" w14:textId="77777777" w:rsidR="0011444E" w:rsidRPr="000B2CBE" w:rsidRDefault="003C599E" w:rsidP="00930587">
      <w:pPr>
        <w:jc w:val="center"/>
        <w:rPr>
          <w:color w:val="000000" w:themeColor="text1"/>
          <w:lang w:val="ro-RO" w:eastAsia="ro-MD"/>
        </w:rPr>
      </w:pPr>
      <w:r w:rsidRPr="000B2CBE">
        <w:rPr>
          <w:color w:val="000000" w:themeColor="text1"/>
          <w:lang w:val="ro-MD"/>
        </w:rPr>
        <w:t>„</w:t>
      </w:r>
      <w:r w:rsidR="0011444E" w:rsidRPr="000B2CBE">
        <w:rPr>
          <w:b/>
          <w:bCs/>
          <w:i/>
          <w:iCs/>
          <w:color w:val="000000" w:themeColor="text1"/>
          <w:lang w:val="ro-RO" w:eastAsia="ro-MD"/>
        </w:rPr>
        <w:t>Secțiunea a 4</w:t>
      </w:r>
      <w:r w:rsidR="0011444E" w:rsidRPr="000B2CBE">
        <w:rPr>
          <w:b/>
          <w:bCs/>
          <w:i/>
          <w:iCs/>
          <w:color w:val="000000" w:themeColor="text1"/>
          <w:vertAlign w:val="superscript"/>
          <w:lang w:val="ro-RO" w:eastAsia="ro-MD"/>
        </w:rPr>
        <w:t>1</w:t>
      </w:r>
      <w:r w:rsidR="0011444E" w:rsidRPr="000B2CBE">
        <w:rPr>
          <w:b/>
          <w:bCs/>
          <w:i/>
          <w:iCs/>
          <w:color w:val="000000" w:themeColor="text1"/>
          <w:lang w:val="ro-RO" w:eastAsia="ro-MD"/>
        </w:rPr>
        <w:t>-a</w:t>
      </w:r>
    </w:p>
    <w:p w14:paraId="7E2A58E4" w14:textId="77777777" w:rsidR="0011444E" w:rsidRPr="000B2CBE" w:rsidRDefault="0011444E" w:rsidP="00930587">
      <w:pPr>
        <w:jc w:val="center"/>
        <w:rPr>
          <w:color w:val="000000" w:themeColor="text1"/>
          <w:lang w:val="ro-RO" w:eastAsia="ro-MD"/>
        </w:rPr>
      </w:pPr>
      <w:r w:rsidRPr="000B2CBE">
        <w:rPr>
          <w:b/>
          <w:bCs/>
          <w:i/>
          <w:iCs/>
          <w:color w:val="000000" w:themeColor="text1"/>
          <w:lang w:val="ro-RO" w:eastAsia="ro-MD"/>
        </w:rPr>
        <w:t>Extinderea eligibilității garanțiilor reale în cadrul</w:t>
      </w:r>
      <w:r w:rsidRPr="009C332D">
        <w:rPr>
          <w:color w:val="000000" w:themeColor="text1"/>
          <w:lang w:val="ro-MD"/>
        </w:rPr>
        <w:t xml:space="preserve"> </w:t>
      </w:r>
      <w:r w:rsidRPr="000B2CBE">
        <w:rPr>
          <w:b/>
          <w:bCs/>
          <w:i/>
          <w:iCs/>
          <w:color w:val="000000" w:themeColor="text1"/>
          <w:lang w:val="ro-RO" w:eastAsia="ro-MD"/>
        </w:rPr>
        <w:t>abordării IRB</w:t>
      </w:r>
    </w:p>
    <w:p w14:paraId="39A1117F" w14:textId="77777777"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1</w:t>
      </w:r>
      <w:r w:rsidRPr="000B2CBE">
        <w:rPr>
          <w:b/>
          <w:bCs/>
          <w:color w:val="000000" w:themeColor="text1"/>
          <w:lang w:val="ro-RO" w:eastAsia="ro-MD"/>
        </w:rPr>
        <w:t>.</w:t>
      </w:r>
      <w:r w:rsidRPr="000B2CBE">
        <w:rPr>
          <w:color w:val="000000" w:themeColor="text1"/>
          <w:lang w:val="ro-RO" w:eastAsia="ro-MD"/>
        </w:rPr>
        <w:t xml:space="preserve"> În plus față de garanțiile reale menționate la punctele 25-34, băncile care calculează valorile ponderate la risc ale expunerilor și cuantumurile pierderilor așteptate conform abordării IRB pot utiliza, de asemenea, următoarele forme de garanții reale:</w:t>
      </w:r>
    </w:p>
    <w:p w14:paraId="732919EA" w14:textId="64FE4755"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1) garanții sub forma bunurilor imobile, în conformitate cu punctele 34</w:t>
      </w:r>
      <w:r w:rsidRPr="000B2CBE">
        <w:rPr>
          <w:color w:val="000000" w:themeColor="text1"/>
          <w:vertAlign w:val="superscript"/>
          <w:lang w:val="ro-RO" w:eastAsia="ro-MD"/>
        </w:rPr>
        <w:t>2</w:t>
      </w:r>
      <w:r w:rsidRPr="000B2CBE">
        <w:rPr>
          <w:color w:val="000000" w:themeColor="text1"/>
          <w:lang w:val="ro-RO" w:eastAsia="ro-MD"/>
        </w:rPr>
        <w:t>-34</w:t>
      </w:r>
      <w:r w:rsidRPr="000B2CBE">
        <w:rPr>
          <w:color w:val="000000" w:themeColor="text1"/>
          <w:vertAlign w:val="superscript"/>
          <w:lang w:val="ro-RO" w:eastAsia="ro-MD"/>
        </w:rPr>
        <w:t>4</w:t>
      </w:r>
      <w:r w:rsidRPr="000B2CBE">
        <w:rPr>
          <w:color w:val="000000" w:themeColor="text1"/>
          <w:lang w:val="ro-RO" w:eastAsia="ro-MD"/>
        </w:rPr>
        <w:t>;</w:t>
      </w:r>
    </w:p>
    <w:p w14:paraId="0AD40B9D" w14:textId="065560D0"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2) creanțe, în conformitate cu punctele 34</w:t>
      </w:r>
      <w:r w:rsidRPr="000B2CBE">
        <w:rPr>
          <w:color w:val="000000" w:themeColor="text1"/>
          <w:vertAlign w:val="superscript"/>
          <w:lang w:val="ro-RO" w:eastAsia="ro-MD"/>
        </w:rPr>
        <w:t>6</w:t>
      </w:r>
      <w:r w:rsidRPr="000B2CBE">
        <w:rPr>
          <w:color w:val="000000" w:themeColor="text1"/>
          <w:lang w:val="ro-RO" w:eastAsia="ro-MD"/>
        </w:rPr>
        <w:t xml:space="preserve"> și 34</w:t>
      </w:r>
      <w:r w:rsidRPr="000B2CBE">
        <w:rPr>
          <w:color w:val="000000" w:themeColor="text1"/>
          <w:vertAlign w:val="superscript"/>
          <w:lang w:val="ro-RO" w:eastAsia="ro-MD"/>
        </w:rPr>
        <w:t>7</w:t>
      </w:r>
      <w:r w:rsidRPr="000B2CBE">
        <w:rPr>
          <w:color w:val="000000" w:themeColor="text1"/>
          <w:lang w:val="ro-RO" w:eastAsia="ro-MD"/>
        </w:rPr>
        <w:t>;</w:t>
      </w:r>
    </w:p>
    <w:p w14:paraId="03CE4534" w14:textId="0A454886"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3) alte garanții reale corporale, în conformitate cu punctul 34</w:t>
      </w:r>
      <w:r w:rsidRPr="000B2CBE">
        <w:rPr>
          <w:color w:val="000000" w:themeColor="text1"/>
          <w:vertAlign w:val="superscript"/>
          <w:lang w:val="ro-RO" w:eastAsia="ro-MD"/>
        </w:rPr>
        <w:t>8</w:t>
      </w:r>
      <w:r w:rsidRPr="000B2CBE">
        <w:rPr>
          <w:color w:val="000000" w:themeColor="text1"/>
          <w:lang w:val="ro-RO" w:eastAsia="ro-MD"/>
        </w:rPr>
        <w:t>;</w:t>
      </w:r>
    </w:p>
    <w:p w14:paraId="1B419417" w14:textId="79236576"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4) bunuri în leasing, în conformitate cu punctul 34</w:t>
      </w:r>
      <w:r w:rsidRPr="000B2CBE">
        <w:rPr>
          <w:color w:val="000000" w:themeColor="text1"/>
          <w:vertAlign w:val="superscript"/>
          <w:lang w:val="ro-RO" w:eastAsia="ro-MD"/>
        </w:rPr>
        <w:t>9</w:t>
      </w:r>
      <w:r w:rsidRPr="000B2CBE">
        <w:rPr>
          <w:color w:val="000000" w:themeColor="text1"/>
          <w:lang w:val="ro-RO" w:eastAsia="ro-MD"/>
        </w:rPr>
        <w:t>.</w:t>
      </w:r>
    </w:p>
    <w:p w14:paraId="3DDAF2AC" w14:textId="333CB34C"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2</w:t>
      </w:r>
      <w:r w:rsidRPr="000B2CBE">
        <w:rPr>
          <w:b/>
          <w:bCs/>
          <w:color w:val="000000" w:themeColor="text1"/>
          <w:lang w:val="ro-RO" w:eastAsia="ro-MD"/>
        </w:rPr>
        <w:t>.</w:t>
      </w:r>
      <w:r w:rsidRPr="000B2CBE">
        <w:rPr>
          <w:color w:val="000000" w:themeColor="text1"/>
          <w:lang w:val="ro-RO" w:eastAsia="ro-MD"/>
        </w:rPr>
        <w:t xml:space="preserve"> Cu excepția cazului în care conform Regulamentului nr.111/2018 se specifică altfel, băncile pot utiliza drept garanții reale eligibile bunurile imobile locative care sunt sau vor fi ocupate sau date cu chirie de către proprietar sau, în cazul societăților pentru investiții personale, de către beneficiarul real, precum și bunurile imobile comerciale, inclusiv birouri și alte spații comerciale, dacă sunt îndeplinite cumulativ următoarele condiții:</w:t>
      </w:r>
    </w:p>
    <w:p w14:paraId="139C92CB" w14:textId="77777777"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1) valoarea bunului imobil nu depinde în mod semnificativ de calitatea creditului debitorului;</w:t>
      </w:r>
    </w:p>
    <w:p w14:paraId="78B83535" w14:textId="7681FF46"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lastRenderedPageBreak/>
        <w:t>2) riscul asociat debitorului nu depinde în mod semnificativ de randamentul bunului imobil sau al proiectului-suport, ci de capacitatea reală a debitorului de a rambursa datoria din alte surse; în consecință, rambursarea facilității nu depinde în mod semnificativ de fluxurile de numerar generate de bunul imobil care servește drept garanție reală.</w:t>
      </w:r>
    </w:p>
    <w:p w14:paraId="4DDE2CB0" w14:textId="4BF1B4BB"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3</w:t>
      </w:r>
      <w:r w:rsidRPr="000B2CBE">
        <w:rPr>
          <w:b/>
          <w:bCs/>
          <w:color w:val="000000" w:themeColor="text1"/>
          <w:lang w:val="ro-RO" w:eastAsia="ro-MD"/>
        </w:rPr>
        <w:t>.</w:t>
      </w:r>
      <w:r w:rsidRPr="000B2CBE">
        <w:rPr>
          <w:color w:val="000000" w:themeColor="text1"/>
          <w:lang w:val="ro-RO" w:eastAsia="ro-MD"/>
        </w:rPr>
        <w:t xml:space="preserve"> În sensul subpunctului 1), băncile pot exclude situațiile în care factori pur macroeconomici afectează atât valoarea bunului imobil, cât și performanța debitorului.</w:t>
      </w:r>
    </w:p>
    <w:p w14:paraId="5F652E48" w14:textId="77777777"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4</w:t>
      </w:r>
      <w:r w:rsidRPr="000B2CBE">
        <w:rPr>
          <w:b/>
          <w:bCs/>
          <w:color w:val="000000" w:themeColor="text1"/>
          <w:lang w:val="ro-RO" w:eastAsia="ro-MD"/>
        </w:rPr>
        <w:t>.</w:t>
      </w:r>
      <w:r w:rsidRPr="000B2CBE">
        <w:rPr>
          <w:color w:val="000000" w:themeColor="text1"/>
          <w:lang w:val="ro-RO" w:eastAsia="ro-MD"/>
        </w:rPr>
        <w:t xml:space="preserve"> Băncile pot deroga de la punctul 34</w:t>
      </w:r>
      <w:r w:rsidRPr="000B2CBE">
        <w:rPr>
          <w:color w:val="000000" w:themeColor="text1"/>
          <w:vertAlign w:val="superscript"/>
          <w:lang w:val="ro-RO" w:eastAsia="ro-MD"/>
        </w:rPr>
        <w:t>2</w:t>
      </w:r>
      <w:r w:rsidRPr="000B2CBE">
        <w:rPr>
          <w:color w:val="000000" w:themeColor="text1"/>
          <w:lang w:val="ro-RO" w:eastAsia="ro-MD"/>
        </w:rPr>
        <w:t xml:space="preserve"> subpunctul 2) în cazul expunerilor garantate cu bunuri imobile locative situate pe teritoriul unui stat membru al Uniunii Europene, dacă autoritatea competentă a acestui stat membru a publicat dovezi indicând prezența unei piețe pentru bunuri imobile locative bine dezvoltată și cu existență îndelungată pe teritoriul respectiv, cu rate ale pierderii care nu depășesc niciuna din următoarele limite:</w:t>
      </w:r>
    </w:p>
    <w:p w14:paraId="47AD71E6" w14:textId="45E507E2"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 xml:space="preserve">1) raportul dintre valorile agregate raportate de bănci în temeiul subpunctelor 1) și 3) </w:t>
      </w:r>
      <w:r w:rsidR="006319A3">
        <w:rPr>
          <w:color w:val="000000" w:themeColor="text1"/>
          <w:lang w:val="ro-RO" w:eastAsia="ro-MD"/>
        </w:rPr>
        <w:t xml:space="preserve">de la </w:t>
      </w:r>
      <w:r w:rsidRPr="000B2CBE">
        <w:rPr>
          <w:color w:val="000000" w:themeColor="text1"/>
          <w:lang w:val="ro-RO" w:eastAsia="ro-MD"/>
        </w:rPr>
        <w:t>punctul 1) din anexa nr.2</w:t>
      </w:r>
      <w:r w:rsidRPr="000B2CBE">
        <w:rPr>
          <w:color w:val="000000" w:themeColor="text1"/>
          <w:vertAlign w:val="superscript"/>
          <w:lang w:val="ro-RO" w:eastAsia="ro-MD"/>
        </w:rPr>
        <w:t>1</w:t>
      </w:r>
      <w:r w:rsidRPr="000B2CBE">
        <w:rPr>
          <w:color w:val="000000" w:themeColor="text1"/>
          <w:lang w:val="ro-RO" w:eastAsia="ro-MD"/>
        </w:rPr>
        <w:t xml:space="preserve"> la Regulamentul nr.111/2018 nu depășește 0,3%;</w:t>
      </w:r>
    </w:p>
    <w:p w14:paraId="63F7540D" w14:textId="181AA2B4"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2) raportul dintre valorile agregate raportate de bănci în temeiul subpunctului 2) și  3), punctul 1) din anexa nr.2</w:t>
      </w:r>
      <w:r w:rsidRPr="000B2CBE">
        <w:rPr>
          <w:color w:val="000000" w:themeColor="text1"/>
          <w:vertAlign w:val="superscript"/>
          <w:lang w:val="ro-RO" w:eastAsia="ro-MD"/>
        </w:rPr>
        <w:t>1</w:t>
      </w:r>
      <w:r w:rsidRPr="000B2CBE">
        <w:rPr>
          <w:color w:val="000000" w:themeColor="text1"/>
          <w:lang w:val="ro-RO" w:eastAsia="ro-MD"/>
        </w:rPr>
        <w:t xml:space="preserve"> la Regulamentul nr.111/2018 nu depășește 0,5%.</w:t>
      </w:r>
    </w:p>
    <w:p w14:paraId="22606C36" w14:textId="38A64883"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5</w:t>
      </w:r>
      <w:r w:rsidRPr="000B2CBE">
        <w:rPr>
          <w:b/>
          <w:bCs/>
          <w:color w:val="000000" w:themeColor="text1"/>
          <w:lang w:val="ro-RO" w:eastAsia="ro-MD"/>
        </w:rPr>
        <w:t>.</w:t>
      </w:r>
      <w:r w:rsidRPr="000B2CBE">
        <w:rPr>
          <w:color w:val="000000" w:themeColor="text1"/>
          <w:lang w:val="ro-RO" w:eastAsia="ro-MD"/>
        </w:rPr>
        <w:t xml:space="preserve"> În cazul în care oricare din condițiile prevăzute la subpunctele 1) și 2) nu este îndeplinită într-un anumit an, băncile nu aplică tratamentul specificat la punctul respectiv până când nu sunt satisfăcute, într-un an ulterior, ambele condiții.</w:t>
      </w:r>
    </w:p>
    <w:p w14:paraId="68242643" w14:textId="77777777"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6</w:t>
      </w:r>
      <w:r w:rsidRPr="000B2CBE">
        <w:rPr>
          <w:b/>
          <w:bCs/>
          <w:color w:val="000000" w:themeColor="text1"/>
          <w:lang w:val="ro-RO" w:eastAsia="ro-MD"/>
        </w:rPr>
        <w:t>.</w:t>
      </w:r>
      <w:r w:rsidRPr="000B2CBE">
        <w:rPr>
          <w:color w:val="000000" w:themeColor="text1"/>
          <w:lang w:val="ro-RO" w:eastAsia="ro-MD"/>
        </w:rPr>
        <w:t xml:space="preserve"> Băncile pot deroga de la punctul 34</w:t>
      </w:r>
      <w:r w:rsidRPr="000B2CBE">
        <w:rPr>
          <w:color w:val="000000" w:themeColor="text1"/>
          <w:vertAlign w:val="superscript"/>
          <w:lang w:val="ro-RO" w:eastAsia="ro-MD"/>
        </w:rPr>
        <w:t>2</w:t>
      </w:r>
      <w:r w:rsidRPr="000B2CBE">
        <w:rPr>
          <w:color w:val="000000" w:themeColor="text1"/>
          <w:lang w:val="ro-RO" w:eastAsia="ro-MD"/>
        </w:rPr>
        <w:t xml:space="preserve"> subpunctul 2) în cazul expunerilor garantate cu bunuri imobile comerciale situate pe teritoriul unui stat membru al Uniunii Europene, dacă autoritatea competentă a acestui stat membru a publicat dovezi indicând prezența unei piețe pentru bunuri imobile comerciale bine dezvoltate și cu existență îndelungată pe teritoriul respectiv, cu rate ale pierderii care nu depășesc niciuna dintre următoarele limite:</w:t>
      </w:r>
    </w:p>
    <w:p w14:paraId="4DDCBF97" w14:textId="7E7F9C4E"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1) raportul dintre valorile agregate raportate de bănci în temeiul subpunctului 4) și subpunctului 6), punctul 1) din anexa nr.2</w:t>
      </w:r>
      <w:r w:rsidRPr="000B2CBE">
        <w:rPr>
          <w:color w:val="000000" w:themeColor="text1"/>
          <w:vertAlign w:val="superscript"/>
          <w:lang w:val="ro-RO" w:eastAsia="ro-MD"/>
        </w:rPr>
        <w:t>1</w:t>
      </w:r>
      <w:r w:rsidRPr="000B2CBE">
        <w:rPr>
          <w:color w:val="000000" w:themeColor="text1"/>
          <w:lang w:val="ro-RO" w:eastAsia="ro-MD"/>
        </w:rPr>
        <w:t xml:space="preserve"> la Regulamentul nr.111/2018 nu depășește 0,3%;</w:t>
      </w:r>
    </w:p>
    <w:p w14:paraId="28AEE93C" w14:textId="3BBD3692"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2) raportul dintre valorile agregate raportate de bănci în temeiul subpunctului 5) și subpunctului 6), punctul 1) din anexa nr.2</w:t>
      </w:r>
      <w:r w:rsidRPr="000B2CBE">
        <w:rPr>
          <w:color w:val="000000" w:themeColor="text1"/>
          <w:vertAlign w:val="superscript"/>
          <w:lang w:val="ro-RO" w:eastAsia="ro-MD"/>
        </w:rPr>
        <w:t>1</w:t>
      </w:r>
      <w:r w:rsidRPr="000B2CBE">
        <w:rPr>
          <w:color w:val="000000" w:themeColor="text1"/>
          <w:lang w:val="ro-RO" w:eastAsia="ro-MD"/>
        </w:rPr>
        <w:t xml:space="preserve"> la Regulamentul nr.111/2018 nu depășește 0,5%.</w:t>
      </w:r>
    </w:p>
    <w:p w14:paraId="5936736B" w14:textId="6EC7DC08"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7</w:t>
      </w:r>
      <w:r w:rsidRPr="000B2CBE">
        <w:rPr>
          <w:b/>
          <w:bCs/>
          <w:color w:val="000000" w:themeColor="text1"/>
          <w:lang w:val="ro-RO" w:eastAsia="ro-MD"/>
        </w:rPr>
        <w:t>.</w:t>
      </w:r>
      <w:r w:rsidRPr="000B2CBE">
        <w:rPr>
          <w:color w:val="000000" w:themeColor="text1"/>
          <w:lang w:val="ro-RO" w:eastAsia="ro-MD"/>
        </w:rPr>
        <w:t xml:space="preserve"> În cazul în care una din condițiile prevăzute la subpunctul 1) și 2) nu este îndeplinită într-un anumit an, </w:t>
      </w:r>
      <w:r w:rsidR="006319A3">
        <w:rPr>
          <w:color w:val="000000" w:themeColor="text1"/>
          <w:lang w:val="ro-RO" w:eastAsia="ro-MD"/>
        </w:rPr>
        <w:t>băncile</w:t>
      </w:r>
      <w:r w:rsidRPr="000B2CBE">
        <w:rPr>
          <w:color w:val="000000" w:themeColor="text1"/>
          <w:lang w:val="ro-RO" w:eastAsia="ro-MD"/>
        </w:rPr>
        <w:t xml:space="preserve"> nu aplică tratamentul specificat la paragraful respectiv până când nu sunt satisfăcute, într-un an ulterior, ambele condiții.</w:t>
      </w:r>
    </w:p>
    <w:p w14:paraId="18F6BACC" w14:textId="1538624C"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8</w:t>
      </w:r>
      <w:r w:rsidRPr="000B2CBE">
        <w:rPr>
          <w:b/>
          <w:bCs/>
          <w:color w:val="000000" w:themeColor="text1"/>
          <w:lang w:val="ro-RO" w:eastAsia="ro-MD"/>
        </w:rPr>
        <w:t>.</w:t>
      </w:r>
      <w:r w:rsidRPr="000B2CBE">
        <w:rPr>
          <w:color w:val="000000" w:themeColor="text1"/>
          <w:lang w:val="ro-RO" w:eastAsia="ro-MD"/>
        </w:rPr>
        <w:t xml:space="preserve"> Băncile pot aplica derogările menționate la punctele 34</w:t>
      </w:r>
      <w:r w:rsidRPr="000B2CBE">
        <w:rPr>
          <w:color w:val="000000" w:themeColor="text1"/>
          <w:vertAlign w:val="superscript"/>
          <w:lang w:val="ro-RO" w:eastAsia="ro-MD"/>
        </w:rPr>
        <w:t>4</w:t>
      </w:r>
      <w:r w:rsidRPr="000B2CBE">
        <w:rPr>
          <w:color w:val="000000" w:themeColor="text1"/>
          <w:lang w:val="ro-RO" w:eastAsia="ro-MD"/>
        </w:rPr>
        <w:t xml:space="preserve"> și 34</w:t>
      </w:r>
      <w:r w:rsidRPr="000B2CBE">
        <w:rPr>
          <w:color w:val="000000" w:themeColor="text1"/>
          <w:vertAlign w:val="superscript"/>
          <w:lang w:val="ro-RO" w:eastAsia="ro-MD"/>
        </w:rPr>
        <w:t>6</w:t>
      </w:r>
      <w:r w:rsidRPr="000B2CBE">
        <w:rPr>
          <w:color w:val="000000" w:themeColor="text1"/>
          <w:lang w:val="ro-RO" w:eastAsia="ro-MD"/>
        </w:rPr>
        <w:t xml:space="preserve"> și în cazurile în care autoritatea competentă a unei țări terțe care aplică mecanisme de supraveghere și de reglementare cel puțin echivalente cu cele aplicate în Republica Moldova</w:t>
      </w:r>
      <w:r w:rsidRPr="009C332D">
        <w:rPr>
          <w:color w:val="000000" w:themeColor="text1"/>
          <w:lang w:val="ro-RO"/>
        </w:rPr>
        <w:t xml:space="preserve"> </w:t>
      </w:r>
      <w:r w:rsidRPr="000B2CBE">
        <w:rPr>
          <w:color w:val="000000" w:themeColor="text1"/>
          <w:lang w:val="ro-RO" w:eastAsia="ro-MD"/>
        </w:rPr>
        <w:t>în privința băncilor conform anexei nr.5 la Regulamentul nr.111/2018, publică ratele pierderilor corespunzătoare pentru expunerile garantate cu bunuri imobile locative sau comerciale situate pe teritoriul țării terțe respective.</w:t>
      </w:r>
    </w:p>
    <w:p w14:paraId="4C68DF4D" w14:textId="6F744A19"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9</w:t>
      </w:r>
      <w:r w:rsidRPr="000B2CBE">
        <w:rPr>
          <w:b/>
          <w:bCs/>
          <w:color w:val="000000" w:themeColor="text1"/>
          <w:lang w:val="ro-RO" w:eastAsia="ro-MD"/>
        </w:rPr>
        <w:t>.</w:t>
      </w:r>
      <w:r w:rsidRPr="000B2CBE">
        <w:rPr>
          <w:color w:val="000000" w:themeColor="text1"/>
          <w:lang w:val="ro-RO" w:eastAsia="ro-MD"/>
        </w:rPr>
        <w:t xml:space="preserve"> Băncile pot utiliza drept garanții reale eligibile creanțele aferente unei tranzacții comerciale sau tranzacțiilor cu scadență inițială mai mică sau egală cu un an. Creanțele eligibile nu includ creanțele asociate securitizărilor, </w:t>
      </w:r>
      <w:proofErr w:type="spellStart"/>
      <w:r w:rsidRPr="000B2CBE">
        <w:rPr>
          <w:color w:val="000000" w:themeColor="text1"/>
          <w:lang w:val="ro-RO" w:eastAsia="ro-MD"/>
        </w:rPr>
        <w:t>subparticipațiilor</w:t>
      </w:r>
      <w:proofErr w:type="spellEnd"/>
      <w:r w:rsidRPr="000B2CBE">
        <w:rPr>
          <w:color w:val="000000" w:themeColor="text1"/>
          <w:lang w:val="ro-RO" w:eastAsia="ro-MD"/>
        </w:rPr>
        <w:t xml:space="preserve"> sau instrumentelor financiare derivate de credit și nici sumele datorate de părți afiliate.</w:t>
      </w:r>
    </w:p>
    <w:p w14:paraId="6E4B79D7" w14:textId="11739D4E" w:rsidR="0011444E" w:rsidRPr="000B2CBE" w:rsidRDefault="0011444E" w:rsidP="00930587">
      <w:pPr>
        <w:jc w:val="both"/>
        <w:rPr>
          <w:color w:val="000000" w:themeColor="text1"/>
          <w:sz w:val="18"/>
          <w:szCs w:val="18"/>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10</w:t>
      </w:r>
      <w:r w:rsidRPr="000B2CBE">
        <w:rPr>
          <w:b/>
          <w:bCs/>
          <w:color w:val="000000" w:themeColor="text1"/>
          <w:lang w:val="ro-RO" w:eastAsia="ro-MD"/>
        </w:rPr>
        <w:t>.</w:t>
      </w:r>
      <w:r w:rsidRPr="000B2CBE">
        <w:rPr>
          <w:color w:val="000000" w:themeColor="text1"/>
          <w:lang w:val="ro-RO" w:eastAsia="ro-MD"/>
        </w:rPr>
        <w:t xml:space="preserve"> În cazul în care o bancă pentru dezvoltare publică, acordă un credit promoțional în scopul promovării obiectivelor de politică publică ale administrației centrale, ale administrației regionale sau ale autorității locale, unei alte bănci sau unei societăți financiare non-bancare care este autorizată să desfășoare activitățile menționate la articolul 14 aliniatul (1) literele b) sau c)  din Legea nr.202/2017 și care îndeplinește condițiile prevăzute la punctul 51 din Regulamentul nr.111/2018 și în cazul în care respectiva bancă sau societate financiară non-bancară transferă direct sau indirect creditul promoțional respectiv unui debitor final și cedează </w:t>
      </w:r>
      <w:r w:rsidR="006319A3">
        <w:rPr>
          <w:color w:val="000000" w:themeColor="text1"/>
          <w:lang w:val="ro-RO" w:eastAsia="ro-MD"/>
        </w:rPr>
        <w:t>băncii</w:t>
      </w:r>
      <w:r w:rsidRPr="000B2CBE">
        <w:rPr>
          <w:color w:val="000000" w:themeColor="text1"/>
          <w:lang w:val="ro-RO" w:eastAsia="ro-MD"/>
        </w:rPr>
        <w:t xml:space="preserve"> pentru dezvoltare publică creanța din creditul promoțional drept garanție reală, </w:t>
      </w:r>
      <w:r w:rsidR="006319A3">
        <w:rPr>
          <w:color w:val="000000" w:themeColor="text1"/>
          <w:lang w:val="ro-RO" w:eastAsia="ro-MD"/>
        </w:rPr>
        <w:t>banca</w:t>
      </w:r>
      <w:r w:rsidRPr="000B2CBE">
        <w:rPr>
          <w:color w:val="000000" w:themeColor="text1"/>
          <w:lang w:val="ro-RO" w:eastAsia="ro-MD"/>
        </w:rPr>
        <w:t xml:space="preserve"> pentru dezvoltare publică poate utiliza creanța cedată drept garanție reală eligibilă, indiferent de scadența inițială a creanței cedate.</w:t>
      </w:r>
    </w:p>
    <w:p w14:paraId="608E2A62" w14:textId="77777777" w:rsidR="0011444E" w:rsidRPr="000B2CBE" w:rsidRDefault="0011444E" w:rsidP="00930587">
      <w:pPr>
        <w:jc w:val="both"/>
        <w:rPr>
          <w:color w:val="000000" w:themeColor="text1"/>
          <w:lang w:val="ro-RO" w:eastAsia="ro-MD"/>
        </w:rPr>
      </w:pPr>
      <w:r w:rsidRPr="000B2CBE">
        <w:rPr>
          <w:b/>
          <w:bCs/>
          <w:color w:val="000000" w:themeColor="text1"/>
          <w:lang w:val="ro-RO" w:eastAsia="ro-MD"/>
        </w:rPr>
        <w:lastRenderedPageBreak/>
        <w:t>34</w:t>
      </w:r>
      <w:r w:rsidRPr="000B2CBE">
        <w:rPr>
          <w:b/>
          <w:bCs/>
          <w:color w:val="000000" w:themeColor="text1"/>
          <w:vertAlign w:val="superscript"/>
          <w:lang w:val="ro-RO" w:eastAsia="ro-MD"/>
        </w:rPr>
        <w:t>11</w:t>
      </w:r>
      <w:r w:rsidRPr="000B2CBE">
        <w:rPr>
          <w:b/>
          <w:bCs/>
          <w:color w:val="000000" w:themeColor="text1"/>
          <w:lang w:val="ro-RO" w:eastAsia="ro-MD"/>
        </w:rPr>
        <w:t>.</w:t>
      </w:r>
      <w:r w:rsidRPr="000B2CBE">
        <w:rPr>
          <w:color w:val="000000" w:themeColor="text1"/>
          <w:lang w:val="ro-RO" w:eastAsia="ro-MD"/>
        </w:rPr>
        <w:t xml:space="preserve"> În sensul punctului 34</w:t>
      </w:r>
      <w:r w:rsidRPr="000B2CBE">
        <w:rPr>
          <w:color w:val="000000" w:themeColor="text1"/>
          <w:vertAlign w:val="superscript"/>
          <w:lang w:val="ro-RO" w:eastAsia="ro-MD"/>
        </w:rPr>
        <w:t>10</w:t>
      </w:r>
      <w:r w:rsidRPr="000B2CBE">
        <w:rPr>
          <w:color w:val="000000" w:themeColor="text1"/>
          <w:lang w:val="ro-RO" w:eastAsia="ro-MD"/>
        </w:rPr>
        <w:t xml:space="preserve">, </w:t>
      </w:r>
      <w:r w:rsidRPr="0023120D">
        <w:rPr>
          <w:color w:val="000000" w:themeColor="text1"/>
          <w:lang w:val="ro-RO" w:eastAsia="ro-MD"/>
        </w:rPr>
        <w:t>o bancă pentru dezvoltare publică</w:t>
      </w:r>
      <w:r w:rsidRPr="000B2CBE">
        <w:rPr>
          <w:color w:val="000000" w:themeColor="text1"/>
          <w:lang w:val="ro-RO" w:eastAsia="ro-MD"/>
        </w:rPr>
        <w:t xml:space="preserve"> reprezintă o bancă care îndeplinește cumulativ următoarele condiții:</w:t>
      </w:r>
    </w:p>
    <w:p w14:paraId="48FCE66A" w14:textId="77777777"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1) a fost înființată de o administrație centrală, administrație regională sau autoritate locală din Republica Moldova sau dintr-un stat membru al Uniunii Europene;</w:t>
      </w:r>
    </w:p>
    <w:p w14:paraId="2920512B" w14:textId="77777777"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2) activitatea sa este limitată la promovarea unor obiective specificate de politică publică financiară, socială sau economică, în conformitate cu cadrul legal și dispozițiile care reglementează respectiva bancă, inclusiv statutul, pe o bază neconcurențială. Obiectivele de politică publică pot include furnizarea de finanțare, în scopuri de promovare sau dezvoltare, anumitor sectoare economice sau regiuni geografice din statul membru relevant;</w:t>
      </w:r>
    </w:p>
    <w:p w14:paraId="57D69E3C" w14:textId="77777777"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3) scopul său nu este de a maximiza profitul sau cota de piață;</w:t>
      </w:r>
    </w:p>
    <w:p w14:paraId="5F8145CD" w14:textId="77777777"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4) sub rezerva normelor Uniunii Europene privind ajutoarele de stat, administrația centrală, administrația regională sau autoritatea locală are obligația de a proteja viabilitatea băncii sau garantează, în mod direct sau indirect, cel puțin 90 % din cerințele de fonduri proprii, cerințele de finanțare sau creditele promoționale acordate ale băncii;</w:t>
      </w:r>
    </w:p>
    <w:p w14:paraId="7D5FB9C9" w14:textId="5DE1F32C"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5) nu acceptă depozite acoperite, conform Legii nr.160/2023 cu privire la garantarea depozitelor în bănci, care pot fi clasificate drept depozite la termen sau depozite de economii de la consumatori.</w:t>
      </w:r>
    </w:p>
    <w:p w14:paraId="5C675EEF" w14:textId="77777777"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12</w:t>
      </w:r>
      <w:r w:rsidRPr="000B2CBE">
        <w:rPr>
          <w:b/>
          <w:bCs/>
          <w:color w:val="000000" w:themeColor="text1"/>
          <w:lang w:val="ro-RO" w:eastAsia="ro-MD"/>
        </w:rPr>
        <w:t>.</w:t>
      </w:r>
      <w:r w:rsidRPr="000B2CBE">
        <w:rPr>
          <w:color w:val="000000" w:themeColor="text1"/>
          <w:lang w:val="ro-RO" w:eastAsia="ro-MD"/>
        </w:rPr>
        <w:t xml:space="preserve"> Băncile pot să utilizeze drept garanții reale eligibile garanțiile reale corporale de alt tip decât cele indicate la punctele 34</w:t>
      </w:r>
      <w:r w:rsidRPr="000B2CBE">
        <w:rPr>
          <w:color w:val="000000" w:themeColor="text1"/>
          <w:vertAlign w:val="superscript"/>
          <w:lang w:val="ro-RO" w:eastAsia="ro-MD"/>
        </w:rPr>
        <w:t>3</w:t>
      </w:r>
      <w:r w:rsidRPr="000B2CBE">
        <w:rPr>
          <w:color w:val="000000" w:themeColor="text1"/>
          <w:lang w:val="ro-RO" w:eastAsia="ro-MD"/>
        </w:rPr>
        <w:t xml:space="preserve"> - 34</w:t>
      </w:r>
      <w:r w:rsidRPr="000B2CBE">
        <w:rPr>
          <w:color w:val="000000" w:themeColor="text1"/>
          <w:vertAlign w:val="superscript"/>
          <w:lang w:val="ro-RO" w:eastAsia="ro-MD"/>
        </w:rPr>
        <w:t>7</w:t>
      </w:r>
      <w:r w:rsidRPr="000B2CBE">
        <w:rPr>
          <w:color w:val="000000" w:themeColor="text1"/>
          <w:lang w:val="ro-RO" w:eastAsia="ro-MD"/>
        </w:rPr>
        <w:t>, dacă sunt îndeplinite cumulativ următoarele condiții:</w:t>
      </w:r>
    </w:p>
    <w:p w14:paraId="04B1EE0A" w14:textId="3671973E"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1) există piețe lichide, o dovadă în acest sens fiind tranzacțiile frecvente, ținând seama de tipul de activ, pentru cedarea garanției reale în mod rapid și eficient din punct de vedere economic. Băncile trebuie să evalueze această condiție periodic și atunci când informațiile indică producerea unor modificări semnificative pe piață;</w:t>
      </w:r>
    </w:p>
    <w:p w14:paraId="3905A8BC" w14:textId="0AC5C209"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2) există prețuri de piață bine stabilite și disponibile public pentru garanția reală. Băncile pot considera că prețurile de piață sunt bine stabilite, dacă acestea provin din surse credibile de informații, precum indici publici, și reflectă prețul tranzacțiilor efectuate în condiții normale. Băncile pot considera că prețurile de piață sunt disponibile public, dacă acestea sunt comunicate, sunt ușor accesibile și pot fi obținute cu regularitate și fără eforturi administrative sau financiare nejustificate;</w:t>
      </w:r>
    </w:p>
    <w:p w14:paraId="2927097E" w14:textId="0CEBFEF9" w:rsidR="0011444E" w:rsidRPr="000B2CBE" w:rsidRDefault="0011444E" w:rsidP="0011444E">
      <w:pPr>
        <w:tabs>
          <w:tab w:val="left" w:pos="840"/>
        </w:tabs>
        <w:ind w:firstLine="567"/>
        <w:jc w:val="both"/>
        <w:rPr>
          <w:color w:val="000000" w:themeColor="text1"/>
          <w:lang w:val="ro-RO" w:eastAsia="ro-MD"/>
        </w:rPr>
      </w:pPr>
      <w:r w:rsidRPr="000B2CBE">
        <w:rPr>
          <w:color w:val="000000" w:themeColor="text1"/>
          <w:lang w:val="ro-RO" w:eastAsia="ro-MD"/>
        </w:rPr>
        <w:t>3) banca analizează prețurile de piață, timpul și costurile necesare pentru executarea garanției reale, precum și sumele obținute în urma executării garanției reale;</w:t>
      </w:r>
    </w:p>
    <w:p w14:paraId="59A3EE67" w14:textId="4CABA9A1" w:rsidR="0011444E" w:rsidRPr="000B2CBE" w:rsidRDefault="0011444E" w:rsidP="0011444E">
      <w:pPr>
        <w:ind w:firstLine="567"/>
        <w:jc w:val="both"/>
        <w:rPr>
          <w:color w:val="000000" w:themeColor="text1"/>
          <w:lang w:val="ro-RO" w:eastAsia="ro-MD"/>
        </w:rPr>
      </w:pPr>
      <w:r w:rsidRPr="000B2CBE">
        <w:rPr>
          <w:color w:val="000000" w:themeColor="text1"/>
          <w:lang w:val="ro-RO" w:eastAsia="ro-MD"/>
        </w:rPr>
        <w:t>4) banca demonstrează că, în cel puțin 90% din totalul lichidărilor corespunzătoare unui anumit tip de garanție reală, sumele obținute în urma executării garanției reale nu sunt mai mici de 70% din valoarea garanției reale; în cazul în care există o volatilitate semnificativă a prețurilor pieței, banca demonstrează Băncii Naționale a Moldovei, într-un mod pe care aceasta îl consideră satisfăcător, că propria evaluare a garanției reale este suficient de prudentă.</w:t>
      </w:r>
    </w:p>
    <w:p w14:paraId="00FDD823" w14:textId="40C28B06" w:rsidR="0011444E" w:rsidRPr="000B2CBE" w:rsidRDefault="0011444E" w:rsidP="00930587">
      <w:pPr>
        <w:jc w:val="both"/>
        <w:rPr>
          <w:color w:val="000000" w:themeColor="text1"/>
          <w:lang w:val="ro-RO" w:eastAsia="ro-MD"/>
        </w:rPr>
      </w:pPr>
      <w:r w:rsidRPr="000B2CBE">
        <w:rPr>
          <w:b/>
          <w:bCs/>
          <w:color w:val="000000" w:themeColor="text1"/>
          <w:lang w:val="ro-RO" w:eastAsia="ro-MD"/>
        </w:rPr>
        <w:t>34</w:t>
      </w:r>
      <w:r w:rsidRPr="000B2CBE">
        <w:rPr>
          <w:b/>
          <w:bCs/>
          <w:color w:val="000000" w:themeColor="text1"/>
          <w:vertAlign w:val="superscript"/>
          <w:lang w:val="ro-RO" w:eastAsia="ro-MD"/>
        </w:rPr>
        <w:t>13</w:t>
      </w:r>
      <w:r w:rsidRPr="000B2CBE">
        <w:rPr>
          <w:b/>
          <w:bCs/>
          <w:color w:val="000000" w:themeColor="text1"/>
          <w:lang w:val="ro-RO" w:eastAsia="ro-MD"/>
        </w:rPr>
        <w:t>.</w:t>
      </w:r>
      <w:r w:rsidRPr="000B2CBE">
        <w:rPr>
          <w:color w:val="000000" w:themeColor="text1"/>
          <w:lang w:val="ro-RO" w:eastAsia="ro-MD"/>
        </w:rPr>
        <w:t xml:space="preserve"> Băncile trebuie să formalizeze îndeplinirea condițiilor specificate la punctul 34</w:t>
      </w:r>
      <w:r w:rsidRPr="000B2CBE">
        <w:rPr>
          <w:color w:val="000000" w:themeColor="text1"/>
          <w:vertAlign w:val="superscript"/>
          <w:lang w:val="ro-RO" w:eastAsia="ro-MD"/>
        </w:rPr>
        <w:t>12</w:t>
      </w:r>
      <w:r w:rsidRPr="000B2CBE">
        <w:rPr>
          <w:color w:val="000000" w:themeColor="text1"/>
          <w:lang w:val="ro-RO" w:eastAsia="ro-MD"/>
        </w:rPr>
        <w:t xml:space="preserve"> și la punctele 5</w:t>
      </w:r>
      <w:r w:rsidR="00A669CB" w:rsidRPr="000B2CBE">
        <w:rPr>
          <w:color w:val="000000" w:themeColor="text1"/>
          <w:lang w:val="ro-RO" w:eastAsia="ro-MD"/>
        </w:rPr>
        <w:t>0</w:t>
      </w:r>
      <w:r w:rsidRPr="000B2CBE">
        <w:rPr>
          <w:color w:val="000000" w:themeColor="text1"/>
          <w:vertAlign w:val="superscript"/>
          <w:lang w:val="ro-RO" w:eastAsia="ro-MD"/>
        </w:rPr>
        <w:t>5</w:t>
      </w:r>
      <w:r w:rsidRPr="000B2CBE">
        <w:rPr>
          <w:color w:val="000000" w:themeColor="text1"/>
          <w:lang w:val="ro-RO" w:eastAsia="ro-MD"/>
        </w:rPr>
        <w:t>-5</w:t>
      </w:r>
      <w:r w:rsidR="00A669CB" w:rsidRPr="000B2CBE">
        <w:rPr>
          <w:color w:val="000000" w:themeColor="text1"/>
          <w:lang w:val="ro-RO" w:eastAsia="ro-MD"/>
        </w:rPr>
        <w:t>0</w:t>
      </w:r>
      <w:r w:rsidRPr="000B2CBE">
        <w:rPr>
          <w:color w:val="000000" w:themeColor="text1"/>
          <w:vertAlign w:val="superscript"/>
          <w:lang w:val="ro-RO" w:eastAsia="ro-MD"/>
        </w:rPr>
        <w:t>6</w:t>
      </w:r>
      <w:r w:rsidRPr="000B2CBE">
        <w:rPr>
          <w:color w:val="000000" w:themeColor="text1"/>
          <w:lang w:val="ro-RO" w:eastAsia="ro-MD"/>
        </w:rPr>
        <w:t>.</w:t>
      </w:r>
    </w:p>
    <w:p w14:paraId="5647BD69" w14:textId="1CF15D40" w:rsidR="001221A2" w:rsidRPr="000B2CBE" w:rsidRDefault="0011444E" w:rsidP="0011444E">
      <w:pPr>
        <w:tabs>
          <w:tab w:val="left" w:pos="567"/>
        </w:tabs>
        <w:spacing w:before="80"/>
        <w:jc w:val="both"/>
        <w:rPr>
          <w:color w:val="000000" w:themeColor="text1"/>
          <w:lang w:val="ro-MD"/>
        </w:rPr>
      </w:pPr>
      <w:r w:rsidRPr="000B2CBE">
        <w:rPr>
          <w:b/>
          <w:bCs/>
          <w:color w:val="000000" w:themeColor="text1"/>
          <w:lang w:val="ro-RO" w:eastAsia="ro-MD"/>
        </w:rPr>
        <w:t>34</w:t>
      </w:r>
      <w:r w:rsidRPr="000B2CBE">
        <w:rPr>
          <w:b/>
          <w:bCs/>
          <w:color w:val="000000" w:themeColor="text1"/>
          <w:vertAlign w:val="superscript"/>
          <w:lang w:val="ro-RO" w:eastAsia="ro-MD"/>
        </w:rPr>
        <w:t>14</w:t>
      </w:r>
      <w:r w:rsidRPr="000B2CBE">
        <w:rPr>
          <w:b/>
          <w:bCs/>
          <w:color w:val="000000" w:themeColor="text1"/>
          <w:lang w:val="ro-RO" w:eastAsia="ro-MD"/>
        </w:rPr>
        <w:t>.</w:t>
      </w:r>
      <w:r w:rsidRPr="000B2CBE">
        <w:rPr>
          <w:color w:val="000000" w:themeColor="text1"/>
          <w:lang w:val="ro-RO" w:eastAsia="ro-MD"/>
        </w:rPr>
        <w:t xml:space="preserve"> Sub rezerva dispozițiilor punctului 107</w:t>
      </w:r>
      <w:r w:rsidRPr="000B2CBE">
        <w:rPr>
          <w:color w:val="000000" w:themeColor="text1"/>
          <w:vertAlign w:val="superscript"/>
          <w:lang w:val="ro-RO" w:eastAsia="ro-MD"/>
        </w:rPr>
        <w:t>7</w:t>
      </w:r>
      <w:r w:rsidRPr="000B2CBE">
        <w:rPr>
          <w:color w:val="000000" w:themeColor="text1"/>
          <w:lang w:val="ro-RO" w:eastAsia="ro-MD"/>
        </w:rPr>
        <w:t>, în cazul în care cerințele prevăzute la punctul 51</w:t>
      </w:r>
      <w:r w:rsidRPr="000B2CBE">
        <w:rPr>
          <w:color w:val="000000" w:themeColor="text1"/>
          <w:vertAlign w:val="superscript"/>
          <w:lang w:val="ro-RO" w:eastAsia="ro-MD"/>
        </w:rPr>
        <w:t>7</w:t>
      </w:r>
      <w:r w:rsidRPr="000B2CBE">
        <w:rPr>
          <w:color w:val="000000" w:themeColor="text1"/>
          <w:lang w:val="ro-RO" w:eastAsia="ro-MD"/>
        </w:rPr>
        <w:t xml:space="preserve"> sunt îndeplinite, expunerile decurgând din operațiuni de leasing prin care o bancă dă în leasing un bun unei părți terțe pot fi tratate la fel ca creditele garantate cu tipul de bun dat în leasing.”.</w:t>
      </w:r>
    </w:p>
    <w:p w14:paraId="66D13EFA" w14:textId="63BB3FDC" w:rsidR="002337D1" w:rsidRPr="000B2CBE" w:rsidRDefault="002337D1"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La punctul </w:t>
      </w:r>
      <w:r w:rsidR="00E8743D" w:rsidRPr="000B2CBE">
        <w:rPr>
          <w:color w:val="000000" w:themeColor="text1"/>
          <w:lang w:val="ro-MD"/>
        </w:rPr>
        <w:t>3</w:t>
      </w:r>
      <w:r w:rsidRPr="000B2CBE">
        <w:rPr>
          <w:color w:val="000000" w:themeColor="text1"/>
          <w:lang w:val="ro-MD"/>
        </w:rPr>
        <w:t>5:</w:t>
      </w:r>
    </w:p>
    <w:p w14:paraId="79441E35" w14:textId="00B6A4E8" w:rsidR="00F9105A" w:rsidRPr="000B2CBE" w:rsidRDefault="0042197B" w:rsidP="00E8743D">
      <w:pPr>
        <w:pStyle w:val="ListParagraph"/>
        <w:numPr>
          <w:ilvl w:val="2"/>
          <w:numId w:val="27"/>
        </w:numPr>
        <w:tabs>
          <w:tab w:val="left" w:pos="567"/>
        </w:tabs>
        <w:ind w:left="0" w:firstLine="567"/>
        <w:jc w:val="both"/>
        <w:rPr>
          <w:color w:val="000000" w:themeColor="text1"/>
          <w:lang w:val="ro-MD"/>
        </w:rPr>
      </w:pPr>
      <w:r w:rsidRPr="000B2CBE">
        <w:rPr>
          <w:color w:val="000000" w:themeColor="text1"/>
          <w:lang w:val="ro-MD"/>
        </w:rPr>
        <w:t>la s</w:t>
      </w:r>
      <w:r w:rsidR="0055372C" w:rsidRPr="000B2CBE">
        <w:rPr>
          <w:color w:val="000000" w:themeColor="text1"/>
          <w:lang w:val="ro-MD"/>
        </w:rPr>
        <w:t>ubpunctul 1)</w:t>
      </w:r>
      <w:r w:rsidRPr="000B2CBE">
        <w:rPr>
          <w:color w:val="000000" w:themeColor="text1"/>
          <w:lang w:val="ro-MD"/>
        </w:rPr>
        <w:t xml:space="preserve"> textul </w:t>
      </w:r>
      <w:r w:rsidR="002337D1" w:rsidRPr="000B2CBE">
        <w:rPr>
          <w:color w:val="000000" w:themeColor="text1"/>
          <w:lang w:val="ro-MD"/>
        </w:rPr>
        <w:t>„</w:t>
      </w:r>
      <w:r w:rsidRPr="000B2CBE">
        <w:rPr>
          <w:color w:val="000000" w:themeColor="text1"/>
          <w:lang w:val="ro-MD"/>
        </w:rPr>
        <w:t>care dispune individual sau grupul din care face parte banca respectivă dispune de o evaluare a creditului efectuată de o ECAI, pe care Banca Națională a Moldovei a asociat-o cu nivelul 3 de calitate a creditului sau cu un nivel superior, în conformitate cu normele de ponderare la risc a expunerilor față de bănci sau a expunerilor pe termen scurt, prevăzute în Regulamentul nr.111/2018</w:t>
      </w:r>
      <w:r w:rsidR="002337D1" w:rsidRPr="000B2CBE">
        <w:rPr>
          <w:color w:val="000000" w:themeColor="text1"/>
          <w:lang w:val="ro-MD"/>
        </w:rPr>
        <w:t>” s</w:t>
      </w:r>
      <w:r w:rsidRPr="000B2CBE">
        <w:rPr>
          <w:color w:val="000000" w:themeColor="text1"/>
          <w:lang w:val="ro-MD"/>
        </w:rPr>
        <w:t>e exclude</w:t>
      </w:r>
      <w:r w:rsidR="002337D1" w:rsidRPr="000B2CBE">
        <w:rPr>
          <w:color w:val="000000" w:themeColor="text1"/>
          <w:lang w:val="ro-MD"/>
        </w:rPr>
        <w:t>;</w:t>
      </w:r>
    </w:p>
    <w:p w14:paraId="0C13A200" w14:textId="77777777" w:rsidR="0042197B" w:rsidRPr="000B2CBE" w:rsidRDefault="0042197B" w:rsidP="00E8743D">
      <w:pPr>
        <w:pStyle w:val="ListParagraph"/>
        <w:numPr>
          <w:ilvl w:val="2"/>
          <w:numId w:val="27"/>
        </w:numPr>
        <w:tabs>
          <w:tab w:val="left" w:pos="567"/>
        </w:tabs>
        <w:ind w:left="0" w:firstLine="567"/>
        <w:jc w:val="both"/>
        <w:rPr>
          <w:color w:val="000000" w:themeColor="text1"/>
          <w:lang w:val="ro-MD"/>
        </w:rPr>
      </w:pPr>
      <w:r w:rsidRPr="000B2CBE">
        <w:rPr>
          <w:color w:val="000000" w:themeColor="text1"/>
          <w:lang w:val="ro-MD"/>
        </w:rPr>
        <w:t>la subpunctul 2) textul</w:t>
      </w:r>
      <w:r w:rsidR="002337D1" w:rsidRPr="000B2CBE">
        <w:rPr>
          <w:color w:val="000000" w:themeColor="text1"/>
          <w:lang w:val="ro-MD"/>
        </w:rPr>
        <w:t xml:space="preserve"> „</w:t>
      </w:r>
      <w:r w:rsidRPr="000B2CBE">
        <w:rPr>
          <w:color w:val="000000" w:themeColor="text1"/>
          <w:lang w:val="ro-MD"/>
        </w:rPr>
        <w:t xml:space="preserve">care au o evaluare a creditului efectuată de o ECAI, pe care Banca Națională a Moldovei a asociat-o cu nivelul 3 de calitate a creditului sau cu un nivel superior, </w:t>
      </w:r>
      <w:r w:rsidRPr="000B2CBE">
        <w:rPr>
          <w:color w:val="000000" w:themeColor="text1"/>
          <w:lang w:val="ro-MD"/>
        </w:rPr>
        <w:lastRenderedPageBreak/>
        <w:t>în conformitate cu normele de ponderare la risc a expunerilor față de bănci sau a expunerilor pe termen scurt, prevăzute în Regulamentul nr.111/2018</w:t>
      </w:r>
      <w:r w:rsidR="002337D1" w:rsidRPr="000B2CBE">
        <w:rPr>
          <w:color w:val="000000" w:themeColor="text1"/>
          <w:lang w:val="ro-MD"/>
        </w:rPr>
        <w:t>”</w:t>
      </w:r>
      <w:r w:rsidRPr="000B2CBE">
        <w:rPr>
          <w:color w:val="000000" w:themeColor="text1"/>
          <w:lang w:val="ro-MD"/>
        </w:rPr>
        <w:t xml:space="preserve"> se exclude;</w:t>
      </w:r>
    </w:p>
    <w:p w14:paraId="59F7726A" w14:textId="77777777" w:rsidR="0042197B" w:rsidRPr="000B2CBE" w:rsidRDefault="0042197B" w:rsidP="00E8743D">
      <w:pPr>
        <w:pStyle w:val="ListParagraph"/>
        <w:numPr>
          <w:ilvl w:val="2"/>
          <w:numId w:val="27"/>
        </w:numPr>
        <w:tabs>
          <w:tab w:val="left" w:pos="567"/>
        </w:tabs>
        <w:ind w:left="0" w:firstLine="567"/>
        <w:jc w:val="both"/>
        <w:rPr>
          <w:color w:val="000000" w:themeColor="text1"/>
          <w:lang w:val="ro-MD"/>
        </w:rPr>
      </w:pPr>
      <w:r w:rsidRPr="000B2CBE">
        <w:rPr>
          <w:color w:val="000000" w:themeColor="text1"/>
          <w:lang w:val="ro-MD"/>
        </w:rPr>
        <w:t>se completează cu subpunctul 3) cu următorul cuprins:</w:t>
      </w:r>
    </w:p>
    <w:p w14:paraId="1013426D" w14:textId="49573CCA" w:rsidR="002337D1" w:rsidRPr="000B2CBE" w:rsidRDefault="0042197B" w:rsidP="0042197B">
      <w:pPr>
        <w:tabs>
          <w:tab w:val="left" w:pos="567"/>
        </w:tabs>
        <w:jc w:val="both"/>
        <w:rPr>
          <w:color w:val="000000" w:themeColor="text1"/>
          <w:lang w:val="ro-MD"/>
        </w:rPr>
      </w:pPr>
      <w:r w:rsidRPr="000B2CBE">
        <w:rPr>
          <w:color w:val="000000" w:themeColor="text1"/>
          <w:lang w:val="ro-MD"/>
        </w:rPr>
        <w:t>„3) polițele de asigurare de viață gajate în favoarea băncii creditoare</w:t>
      </w:r>
      <w:r w:rsidR="002337D1" w:rsidRPr="000B2CBE">
        <w:rPr>
          <w:color w:val="000000" w:themeColor="text1"/>
          <w:lang w:val="ro-MD"/>
        </w:rPr>
        <w:t>.</w:t>
      </w:r>
      <w:r w:rsidRPr="000B2CBE">
        <w:rPr>
          <w:color w:val="000000" w:themeColor="text1"/>
          <w:lang w:val="ro-MD"/>
        </w:rPr>
        <w:t>”.</w:t>
      </w:r>
    </w:p>
    <w:p w14:paraId="16458495" w14:textId="3784994E" w:rsidR="00113164" w:rsidRPr="000B2CBE" w:rsidRDefault="00113164"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Punctul </w:t>
      </w:r>
      <w:r w:rsidR="0084652F" w:rsidRPr="000B2CBE">
        <w:rPr>
          <w:color w:val="000000" w:themeColor="text1"/>
          <w:lang w:val="ro-MD"/>
        </w:rPr>
        <w:t>36</w:t>
      </w:r>
      <w:r w:rsidRPr="000B2CBE">
        <w:rPr>
          <w:color w:val="000000" w:themeColor="text1"/>
          <w:lang w:val="ro-MD"/>
        </w:rPr>
        <w:t xml:space="preserve"> va avea următorul cuprins:</w:t>
      </w:r>
    </w:p>
    <w:p w14:paraId="71AEBE39" w14:textId="08FE7BBA" w:rsidR="0084652F" w:rsidRPr="000B2CBE" w:rsidRDefault="00113164" w:rsidP="0084652F">
      <w:pPr>
        <w:jc w:val="both"/>
        <w:rPr>
          <w:color w:val="000000" w:themeColor="text1"/>
          <w:lang w:val="ro-RO" w:eastAsia="ro-MD"/>
        </w:rPr>
      </w:pPr>
      <w:r w:rsidRPr="000B2CBE">
        <w:rPr>
          <w:color w:val="000000" w:themeColor="text1"/>
          <w:lang w:val="ro-MD"/>
        </w:rPr>
        <w:t>„</w:t>
      </w:r>
      <w:r w:rsidR="0084652F" w:rsidRPr="000B2CBE">
        <w:rPr>
          <w:b/>
          <w:bCs/>
          <w:color w:val="000000" w:themeColor="text1"/>
          <w:lang w:val="ro-RO" w:eastAsia="ro-MD"/>
        </w:rPr>
        <w:t>36.</w:t>
      </w:r>
      <w:r w:rsidR="0084652F" w:rsidRPr="000B2CBE">
        <w:rPr>
          <w:color w:val="000000" w:themeColor="text1"/>
          <w:lang w:val="ro-RO" w:eastAsia="ro-MD"/>
        </w:rPr>
        <w:t xml:space="preserve"> Băncile pot recurge la următoarele părți în calitate de furnizori eligibili de protecție nefinanțată a creditului:</w:t>
      </w:r>
    </w:p>
    <w:p w14:paraId="57C47A21" w14:textId="77F29ED4" w:rsidR="0084652F" w:rsidRPr="000B2CBE" w:rsidRDefault="0084652F" w:rsidP="0084652F">
      <w:pPr>
        <w:ind w:firstLine="567"/>
        <w:jc w:val="both"/>
        <w:rPr>
          <w:color w:val="000000" w:themeColor="text1"/>
          <w:lang w:val="ro-RO" w:eastAsia="ro-MD"/>
        </w:rPr>
      </w:pPr>
      <w:r w:rsidRPr="000B2CBE">
        <w:rPr>
          <w:color w:val="000000" w:themeColor="text1"/>
          <w:lang w:val="ro-RO" w:eastAsia="ro-MD"/>
        </w:rPr>
        <w:t>1) administrații centrale și bănci centrale, administrații regionale sau autorități locale, bănci de dezvoltare multilaterală, organizații internaționale, dacă expunerilor față de acestea se atribuie o pondere de risc de 0% în temeiul Regulamentului nr.111/2018;</w:t>
      </w:r>
    </w:p>
    <w:p w14:paraId="278E33B5" w14:textId="4DD793CC" w:rsidR="0084652F" w:rsidRPr="000B2CBE" w:rsidRDefault="0084652F" w:rsidP="0084652F">
      <w:pPr>
        <w:ind w:firstLine="567"/>
        <w:jc w:val="both"/>
        <w:rPr>
          <w:color w:val="000000" w:themeColor="text1"/>
          <w:lang w:val="ro-RO" w:eastAsia="ro-MD"/>
        </w:rPr>
      </w:pPr>
      <w:r w:rsidRPr="000B2CBE">
        <w:rPr>
          <w:color w:val="000000" w:themeColor="text1"/>
          <w:lang w:val="ro-RO" w:eastAsia="ro-MD"/>
        </w:rPr>
        <w:t>2) entități din sectorul public, tratate în conformitate cu Regulamentul nr.111/2018;</w:t>
      </w:r>
    </w:p>
    <w:p w14:paraId="156279ED" w14:textId="5F2F5F9C" w:rsidR="0084652F" w:rsidRPr="000B2CBE" w:rsidRDefault="0084652F" w:rsidP="0084652F">
      <w:pPr>
        <w:ind w:firstLine="567"/>
        <w:jc w:val="both"/>
        <w:rPr>
          <w:color w:val="000000" w:themeColor="text1"/>
          <w:lang w:val="ro-RO" w:eastAsia="ro-MD"/>
        </w:rPr>
      </w:pPr>
      <w:r w:rsidRPr="000B2CBE">
        <w:rPr>
          <w:color w:val="000000" w:themeColor="text1"/>
          <w:lang w:val="ro-RO" w:eastAsia="ro-MD"/>
        </w:rPr>
        <w:t xml:space="preserve">3) bănci și societăți financiare </w:t>
      </w:r>
      <w:proofErr w:type="spellStart"/>
      <w:r w:rsidRPr="000B2CBE">
        <w:rPr>
          <w:color w:val="000000" w:themeColor="text1"/>
          <w:lang w:val="ro-RO" w:eastAsia="ro-MD"/>
        </w:rPr>
        <w:t>nonbancare</w:t>
      </w:r>
      <w:proofErr w:type="spellEnd"/>
      <w:r w:rsidRPr="000B2CBE">
        <w:rPr>
          <w:color w:val="000000" w:themeColor="text1"/>
          <w:lang w:val="ro-RO" w:eastAsia="ro-MD"/>
        </w:rPr>
        <w:t xml:space="preserve"> care sunt tratate ca expuneri față de bănci, în conformitate cu Regulamentul nr.111/2018;</w:t>
      </w:r>
      <w:r w:rsidRPr="000B2CBE">
        <w:rPr>
          <w:color w:val="000000" w:themeColor="text1"/>
          <w:sz w:val="18"/>
          <w:szCs w:val="18"/>
          <w:highlight w:val="lightGray"/>
          <w:lang w:val="ro-RO" w:eastAsia="ro-MD"/>
        </w:rPr>
        <w:t xml:space="preserve"> </w:t>
      </w:r>
    </w:p>
    <w:p w14:paraId="7DEC4466" w14:textId="1666852B" w:rsidR="0084652F" w:rsidRPr="000B2CBE" w:rsidRDefault="0084652F" w:rsidP="0084652F">
      <w:pPr>
        <w:ind w:firstLine="567"/>
        <w:jc w:val="both"/>
        <w:rPr>
          <w:color w:val="000000" w:themeColor="text1"/>
          <w:lang w:val="ro-RO" w:eastAsia="ro-MD"/>
        </w:rPr>
      </w:pPr>
      <w:r w:rsidRPr="000B2CBE">
        <w:rPr>
          <w:color w:val="000000" w:themeColor="text1"/>
          <w:lang w:val="ro-RO" w:eastAsia="ro-MD"/>
        </w:rPr>
        <w:t>4) entități reglementate din sectorul financiar, reprezentate de entități care fac obiectul unor cerințe prudențiale, în mod direct pe bază individuală sau consolidată sau indirect pe baza consolidării prudențiale a întreprinderii-mamă, în conformitate cu cadrul prudențial aferent băncilor, societăților de investiții și asigurătorilor/</w:t>
      </w:r>
      <w:proofErr w:type="spellStart"/>
      <w:r w:rsidRPr="000B2CBE">
        <w:rPr>
          <w:color w:val="000000" w:themeColor="text1"/>
          <w:lang w:val="ro-RO" w:eastAsia="ro-MD"/>
        </w:rPr>
        <w:t>reasigurătorilor</w:t>
      </w:r>
      <w:proofErr w:type="spellEnd"/>
      <w:r w:rsidRPr="000B2CBE">
        <w:rPr>
          <w:color w:val="000000" w:themeColor="text1"/>
          <w:lang w:val="ro-RO" w:eastAsia="ro-MD"/>
        </w:rPr>
        <w:t>, sau al cerințelor prudențiale legale ale unei țări terțe care sunt cel puțin echivalente cu cele aplicate în Republica Moldova conform anexei nr.5 la Regulamentul nr.111/2018;</w:t>
      </w:r>
    </w:p>
    <w:p w14:paraId="6C08EBF2" w14:textId="30EB91B9" w:rsidR="0084652F" w:rsidRPr="000B2CBE" w:rsidRDefault="0084652F" w:rsidP="0084652F">
      <w:pPr>
        <w:ind w:firstLine="567"/>
        <w:jc w:val="both"/>
        <w:rPr>
          <w:color w:val="000000" w:themeColor="text1"/>
          <w:lang w:val="ro-RO" w:eastAsia="ro-MD"/>
        </w:rPr>
      </w:pPr>
      <w:r w:rsidRPr="000B2CBE">
        <w:rPr>
          <w:color w:val="000000" w:themeColor="text1"/>
          <w:lang w:val="ro-RO" w:eastAsia="ro-MD"/>
        </w:rPr>
        <w:t xml:space="preserve">5) </w:t>
      </w:r>
      <w:proofErr w:type="spellStart"/>
      <w:r w:rsidRPr="000B2CBE">
        <w:rPr>
          <w:color w:val="000000" w:themeColor="text1"/>
          <w:lang w:val="ro-RO" w:eastAsia="ro-MD"/>
        </w:rPr>
        <w:t>contrapărțile</w:t>
      </w:r>
      <w:proofErr w:type="spellEnd"/>
      <w:r w:rsidRPr="000B2CBE">
        <w:rPr>
          <w:color w:val="000000" w:themeColor="text1"/>
          <w:lang w:val="ro-RO" w:eastAsia="ro-MD"/>
        </w:rPr>
        <w:t xml:space="preserve"> centrale calificate (CPCC);</w:t>
      </w:r>
    </w:p>
    <w:p w14:paraId="53E0DEA3" w14:textId="58423315" w:rsidR="00113164" w:rsidRPr="000B2CBE" w:rsidRDefault="0084652F" w:rsidP="0084652F">
      <w:pPr>
        <w:tabs>
          <w:tab w:val="left" w:pos="567"/>
        </w:tabs>
        <w:ind w:firstLine="567"/>
        <w:jc w:val="both"/>
        <w:rPr>
          <w:color w:val="000000" w:themeColor="text1"/>
          <w:lang w:val="ro-MD"/>
        </w:rPr>
      </w:pPr>
      <w:r w:rsidRPr="000B2CBE">
        <w:rPr>
          <w:color w:val="000000" w:themeColor="text1"/>
          <w:lang w:val="ro-RO" w:eastAsia="ro-MD"/>
        </w:rPr>
        <w:t>6) în cazul în care protecția creditului nu este furnizată pentru o expunere din securitizare, alte întreprinderi, care au o evaluare de credit efectuată de o ECAI desemnată, inclusiv întreprinderi-mamă, filiale sau entități afiliate debitorului, în cazul în care o expunere directă a întreprinderilor-mamă, a filialelor sau a entităților afiliate respective are o pondere de risc mai mică decât expunerea față de debitor.</w:t>
      </w:r>
      <w:r w:rsidR="00113164" w:rsidRPr="000B2CBE">
        <w:rPr>
          <w:color w:val="000000" w:themeColor="text1"/>
          <w:lang w:val="ro-MD"/>
        </w:rPr>
        <w:t>”.</w:t>
      </w:r>
    </w:p>
    <w:p w14:paraId="4C1340B9" w14:textId="4762A8BE" w:rsidR="002337D1" w:rsidRPr="000B2CBE" w:rsidRDefault="00F2028C" w:rsidP="00DD1675">
      <w:pPr>
        <w:pStyle w:val="ListParagraph"/>
        <w:numPr>
          <w:ilvl w:val="1"/>
          <w:numId w:val="27"/>
        </w:numPr>
        <w:tabs>
          <w:tab w:val="left" w:pos="567"/>
        </w:tabs>
        <w:spacing w:before="80"/>
        <w:ind w:left="0" w:firstLine="567"/>
        <w:jc w:val="both"/>
        <w:rPr>
          <w:color w:val="000000" w:themeColor="text1"/>
          <w:lang w:val="ro-MD"/>
        </w:rPr>
      </w:pPr>
      <w:r w:rsidRPr="000B2CBE">
        <w:rPr>
          <w:color w:val="000000" w:themeColor="text1"/>
          <w:lang w:val="ro-MD"/>
        </w:rPr>
        <w:t>S</w:t>
      </w:r>
      <w:r w:rsidR="00113164" w:rsidRPr="000B2CBE">
        <w:rPr>
          <w:color w:val="000000" w:themeColor="text1"/>
          <w:lang w:val="ro-MD"/>
        </w:rPr>
        <w:t xml:space="preserve">e completează </w:t>
      </w:r>
      <w:r w:rsidRPr="000B2CBE">
        <w:rPr>
          <w:color w:val="000000" w:themeColor="text1"/>
          <w:lang w:val="ro-MD"/>
        </w:rPr>
        <w:t>cu punct</w:t>
      </w:r>
      <w:r w:rsidR="0084652F" w:rsidRPr="000B2CBE">
        <w:rPr>
          <w:color w:val="000000" w:themeColor="text1"/>
          <w:lang w:val="ro-MD"/>
        </w:rPr>
        <w:t>ul</w:t>
      </w:r>
      <w:r w:rsidRPr="000B2CBE">
        <w:rPr>
          <w:color w:val="000000" w:themeColor="text1"/>
          <w:lang w:val="ro-MD"/>
        </w:rPr>
        <w:t xml:space="preserve"> </w:t>
      </w:r>
      <w:r w:rsidR="0084652F" w:rsidRPr="000B2CBE">
        <w:rPr>
          <w:color w:val="000000" w:themeColor="text1"/>
          <w:lang w:val="ro-MD"/>
        </w:rPr>
        <w:t>36</w:t>
      </w:r>
      <w:r w:rsidRPr="000B2CBE">
        <w:rPr>
          <w:color w:val="000000" w:themeColor="text1"/>
          <w:vertAlign w:val="superscript"/>
          <w:lang w:val="ro-MD"/>
        </w:rPr>
        <w:t>1</w:t>
      </w:r>
      <w:r w:rsidR="0099001D" w:rsidRPr="000B2CBE">
        <w:rPr>
          <w:color w:val="000000" w:themeColor="text1"/>
          <w:lang w:val="ro-MD"/>
        </w:rPr>
        <w:t xml:space="preserve"> </w:t>
      </w:r>
      <w:r w:rsidRPr="000B2CBE">
        <w:rPr>
          <w:color w:val="000000" w:themeColor="text1"/>
          <w:lang w:val="ro-MD"/>
        </w:rPr>
        <w:t>cu următorul cuprins:</w:t>
      </w:r>
    </w:p>
    <w:p w14:paraId="5125E4A3" w14:textId="69F86DD9" w:rsidR="00F2028C" w:rsidRPr="000B2CBE" w:rsidRDefault="0084652F" w:rsidP="0099001D">
      <w:pPr>
        <w:jc w:val="both"/>
        <w:rPr>
          <w:color w:val="000000" w:themeColor="text1"/>
          <w:lang w:val="ro-MD"/>
        </w:rPr>
      </w:pPr>
      <w:r w:rsidRPr="000B2CBE">
        <w:rPr>
          <w:b/>
          <w:bCs/>
          <w:color w:val="000000" w:themeColor="text1"/>
          <w:lang w:val="ro-RO" w:eastAsia="ro-MD"/>
        </w:rPr>
        <w:t>„36</w:t>
      </w:r>
      <w:r w:rsidRPr="000B2CBE">
        <w:rPr>
          <w:b/>
          <w:bCs/>
          <w:color w:val="000000" w:themeColor="text1"/>
          <w:vertAlign w:val="superscript"/>
          <w:lang w:val="ro-RO" w:eastAsia="ro-MD"/>
        </w:rPr>
        <w:t>1</w:t>
      </w:r>
      <w:r w:rsidRPr="000B2CBE">
        <w:rPr>
          <w:b/>
          <w:bCs/>
          <w:color w:val="000000" w:themeColor="text1"/>
          <w:lang w:val="ro-RO" w:eastAsia="ro-MD"/>
        </w:rPr>
        <w:t>.</w:t>
      </w:r>
      <w:r w:rsidRPr="000B2CBE">
        <w:rPr>
          <w:color w:val="000000" w:themeColor="text1"/>
          <w:lang w:val="ro-RO" w:eastAsia="ro-MD"/>
        </w:rPr>
        <w:t xml:space="preserve"> Pe lângă furnizorii de protecție enumerați la punctul 36, entităților cărora băncile le acordă un rating intern în conformitate cu cerințele pentru utilizarea abordării IRB sunt furnizori eligibili de protecție nefinanțată a creditului în cazul în care banca utilizează abordarea IRB în cazul expunerilor față de respectivele entități.”.</w:t>
      </w:r>
    </w:p>
    <w:p w14:paraId="14F84F70" w14:textId="2EFF7ED4" w:rsidR="006F7A35" w:rsidRPr="000B2CBE" w:rsidRDefault="006F7A35"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La punctul </w:t>
      </w:r>
      <w:r w:rsidR="002E4851" w:rsidRPr="000B2CBE">
        <w:rPr>
          <w:color w:val="000000" w:themeColor="text1"/>
          <w:lang w:val="ro-MD"/>
        </w:rPr>
        <w:t>41</w:t>
      </w:r>
      <w:r w:rsidRPr="000B2CBE">
        <w:rPr>
          <w:color w:val="000000" w:themeColor="text1"/>
          <w:lang w:val="ro-MD"/>
        </w:rPr>
        <w:t xml:space="preserve"> </w:t>
      </w:r>
      <w:r w:rsidR="002E4851" w:rsidRPr="000B2CBE">
        <w:rPr>
          <w:color w:val="000000" w:themeColor="text1"/>
          <w:lang w:val="ro-MD"/>
        </w:rPr>
        <w:t xml:space="preserve">textul </w:t>
      </w:r>
      <w:r w:rsidR="008A6BD9" w:rsidRPr="000B2CBE">
        <w:rPr>
          <w:color w:val="000000" w:themeColor="text1"/>
          <w:lang w:val="ro-MD"/>
        </w:rPr>
        <w:t>„</w:t>
      </w:r>
      <w:r w:rsidR="002E4851" w:rsidRPr="000B2CBE">
        <w:rPr>
          <w:color w:val="000000" w:themeColor="text1"/>
          <w:lang w:val="ro-RO" w:eastAsia="ro-MD"/>
        </w:rPr>
        <w:t>VI</w:t>
      </w:r>
      <w:r w:rsidR="00247177">
        <w:rPr>
          <w:color w:val="000000" w:themeColor="text1"/>
          <w:lang w:val="ro-RO" w:eastAsia="ro-MD"/>
        </w:rPr>
        <w:t>” se substituie cu textul „V”, iar după cuvintele</w:t>
      </w:r>
      <w:r w:rsidR="002E4851" w:rsidRPr="000B2CBE">
        <w:rPr>
          <w:color w:val="000000" w:themeColor="text1"/>
          <w:lang w:val="ro-RO" w:eastAsia="ro-MD"/>
        </w:rPr>
        <w:t xml:space="preserve"> </w:t>
      </w:r>
      <w:r w:rsidR="00247177">
        <w:rPr>
          <w:color w:val="000000" w:themeColor="text1"/>
          <w:lang w:val="ro-RO" w:eastAsia="ro-MD"/>
        </w:rPr>
        <w:t>„</w:t>
      </w:r>
      <w:r w:rsidR="002E4851" w:rsidRPr="000B2CBE">
        <w:rPr>
          <w:color w:val="000000" w:themeColor="text1"/>
          <w:lang w:val="ro-RO" w:eastAsia="ro-MD"/>
        </w:rPr>
        <w:t>ale expunerilor</w:t>
      </w:r>
      <w:r w:rsidR="008A6BD9" w:rsidRPr="000B2CBE">
        <w:rPr>
          <w:color w:val="000000" w:themeColor="text1"/>
          <w:lang w:val="ro-MD"/>
        </w:rPr>
        <w:t>”</w:t>
      </w:r>
      <w:r w:rsidRPr="000B2CBE">
        <w:rPr>
          <w:color w:val="000000" w:themeColor="text1"/>
          <w:lang w:val="ro-MD"/>
        </w:rPr>
        <w:t xml:space="preserve"> se </w:t>
      </w:r>
      <w:r w:rsidR="00247177">
        <w:rPr>
          <w:color w:val="000000" w:themeColor="text1"/>
          <w:lang w:val="ro-MD"/>
        </w:rPr>
        <w:t>completează</w:t>
      </w:r>
      <w:r w:rsidR="00247177" w:rsidRPr="000B2CBE">
        <w:rPr>
          <w:color w:val="000000" w:themeColor="text1"/>
          <w:lang w:val="ro-MD"/>
        </w:rPr>
        <w:t xml:space="preserve"> </w:t>
      </w:r>
      <w:r w:rsidRPr="000B2CBE">
        <w:rPr>
          <w:color w:val="000000" w:themeColor="text1"/>
          <w:lang w:val="ro-MD"/>
        </w:rPr>
        <w:t xml:space="preserve">cu </w:t>
      </w:r>
      <w:r w:rsidR="00247177">
        <w:rPr>
          <w:color w:val="000000" w:themeColor="text1"/>
          <w:lang w:val="ro-MD"/>
        </w:rPr>
        <w:t>cuvintele</w:t>
      </w:r>
      <w:r w:rsidR="00247177" w:rsidRPr="000B2CBE">
        <w:rPr>
          <w:color w:val="000000" w:themeColor="text1"/>
          <w:lang w:val="ro-MD"/>
        </w:rPr>
        <w:t xml:space="preserve"> </w:t>
      </w:r>
      <w:r w:rsidRPr="000B2CBE">
        <w:rPr>
          <w:color w:val="000000" w:themeColor="text1"/>
          <w:lang w:val="ro-MD"/>
        </w:rPr>
        <w:t>„</w:t>
      </w:r>
      <w:r w:rsidR="002E4851" w:rsidRPr="000B2CBE">
        <w:rPr>
          <w:color w:val="000000" w:themeColor="text1"/>
          <w:lang w:val="ro-MD"/>
        </w:rPr>
        <w:t>și al cuantumurilor pierderilor așteptate</w:t>
      </w:r>
      <w:r w:rsidRPr="000B2CBE">
        <w:rPr>
          <w:color w:val="000000" w:themeColor="text1"/>
          <w:lang w:val="ro-MD"/>
        </w:rPr>
        <w:t>”.</w:t>
      </w:r>
    </w:p>
    <w:p w14:paraId="69184BDE" w14:textId="31C8DE0F" w:rsidR="00E73142" w:rsidRPr="000B2CBE" w:rsidRDefault="00D17481"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Capitolul V s</w:t>
      </w:r>
      <w:r w:rsidR="00E73142" w:rsidRPr="000B2CBE">
        <w:rPr>
          <w:color w:val="000000" w:themeColor="text1"/>
          <w:lang w:val="ro-MD"/>
        </w:rPr>
        <w:t>e completează cu punctul 41</w:t>
      </w:r>
      <w:r w:rsidR="00BB299A" w:rsidRPr="000B2CBE">
        <w:rPr>
          <w:color w:val="000000" w:themeColor="text1"/>
          <w:vertAlign w:val="superscript"/>
          <w:lang w:val="ro-MD"/>
        </w:rPr>
        <w:t>1</w:t>
      </w:r>
      <w:r w:rsidR="00E73142" w:rsidRPr="000B2CBE">
        <w:rPr>
          <w:color w:val="000000" w:themeColor="text1"/>
          <w:lang w:val="ro-MD"/>
        </w:rPr>
        <w:t xml:space="preserve"> cu următorul cuprins:</w:t>
      </w:r>
    </w:p>
    <w:p w14:paraId="369998B9" w14:textId="1C3712C9" w:rsidR="00D752A5" w:rsidRPr="000B2CBE" w:rsidRDefault="00E73142" w:rsidP="00E73142">
      <w:pPr>
        <w:tabs>
          <w:tab w:val="left" w:pos="567"/>
        </w:tabs>
        <w:jc w:val="both"/>
        <w:rPr>
          <w:color w:val="000000" w:themeColor="text1"/>
          <w:lang w:val="ro-MD"/>
        </w:rPr>
      </w:pPr>
      <w:r w:rsidRPr="000B2CBE">
        <w:rPr>
          <w:color w:val="000000" w:themeColor="text1"/>
          <w:lang w:val="ro-MD"/>
        </w:rPr>
        <w:t xml:space="preserve">„ </w:t>
      </w:r>
      <w:r w:rsidRPr="000B2CBE">
        <w:rPr>
          <w:b/>
          <w:bCs/>
          <w:color w:val="000000" w:themeColor="text1"/>
          <w:lang w:val="ro-RO" w:eastAsia="ro-MD"/>
        </w:rPr>
        <w:t>41</w:t>
      </w:r>
      <w:r w:rsidRPr="000B2CBE">
        <w:rPr>
          <w:b/>
          <w:bCs/>
          <w:color w:val="000000" w:themeColor="text1"/>
          <w:vertAlign w:val="superscript"/>
          <w:lang w:val="ro-RO" w:eastAsia="ro-MD"/>
        </w:rPr>
        <w:t>1</w:t>
      </w:r>
      <w:r w:rsidRPr="000B2CBE">
        <w:rPr>
          <w:b/>
          <w:bCs/>
          <w:color w:val="000000" w:themeColor="text1"/>
          <w:lang w:val="ro-RO" w:eastAsia="ro-MD"/>
        </w:rPr>
        <w:t>.</w:t>
      </w:r>
      <w:r w:rsidRPr="000B2CBE">
        <w:rPr>
          <w:color w:val="000000" w:themeColor="text1"/>
          <w:lang w:val="ro-RO" w:eastAsia="ro-MD"/>
        </w:rPr>
        <w:t xml:space="preserve"> Instrumentele financiare derivate de credit de tipul </w:t>
      </w:r>
      <w:proofErr w:type="spellStart"/>
      <w:r w:rsidRPr="000B2CBE">
        <w:rPr>
          <w:color w:val="000000" w:themeColor="text1"/>
          <w:lang w:val="ro-RO" w:eastAsia="ro-MD"/>
        </w:rPr>
        <w:t>first-to-default</w:t>
      </w:r>
      <w:proofErr w:type="spellEnd"/>
      <w:r w:rsidRPr="000B2CBE">
        <w:rPr>
          <w:color w:val="000000" w:themeColor="text1"/>
          <w:lang w:val="ro-RO" w:eastAsia="ro-MD"/>
        </w:rPr>
        <w:t xml:space="preserve"> și toate celelalte instrumente financiare derivate de credit de tipul </w:t>
      </w:r>
      <w:proofErr w:type="spellStart"/>
      <w:r w:rsidRPr="0023120D">
        <w:rPr>
          <w:color w:val="000000" w:themeColor="text1"/>
          <w:lang w:val="ro-RO" w:eastAsia="ro-MD"/>
        </w:rPr>
        <w:t>nth-to-default</w:t>
      </w:r>
      <w:proofErr w:type="spellEnd"/>
      <w:r w:rsidRPr="000B2CBE">
        <w:rPr>
          <w:color w:val="000000" w:themeColor="text1"/>
          <w:lang w:val="ro-RO" w:eastAsia="ro-MD"/>
        </w:rPr>
        <w:t xml:space="preserve"> nu sunt tipuri eligibile de protecție nefinanțată a creditului.”</w:t>
      </w:r>
      <w:r w:rsidR="00250DDE" w:rsidRPr="000B2CBE">
        <w:rPr>
          <w:color w:val="000000" w:themeColor="text1"/>
          <w:lang w:val="ro-MD"/>
        </w:rPr>
        <w:t>.</w:t>
      </w:r>
    </w:p>
    <w:p w14:paraId="11B198CE" w14:textId="6A46C014" w:rsidR="006802B5" w:rsidRPr="000B2CBE" w:rsidRDefault="000D166D" w:rsidP="00DD1675">
      <w:pPr>
        <w:pStyle w:val="ListParagraph"/>
        <w:numPr>
          <w:ilvl w:val="1"/>
          <w:numId w:val="27"/>
        </w:numPr>
        <w:tabs>
          <w:tab w:val="left" w:pos="567"/>
        </w:tabs>
        <w:spacing w:before="80"/>
        <w:ind w:left="0" w:firstLine="567"/>
        <w:jc w:val="both"/>
        <w:rPr>
          <w:color w:val="000000" w:themeColor="text1"/>
          <w:lang w:val="ro-MD"/>
        </w:rPr>
      </w:pPr>
      <w:r w:rsidRPr="000B2CBE">
        <w:rPr>
          <w:color w:val="000000" w:themeColor="text1"/>
          <w:lang w:val="ro-MD"/>
        </w:rPr>
        <w:t xml:space="preserve">Se completează cu </w:t>
      </w:r>
      <w:r w:rsidR="00BB299A" w:rsidRPr="000B2CBE">
        <w:rPr>
          <w:color w:val="000000" w:themeColor="text1"/>
          <w:lang w:val="ro-MD"/>
        </w:rPr>
        <w:t>capitolul V</w:t>
      </w:r>
      <w:r w:rsidRPr="000B2CBE">
        <w:rPr>
          <w:color w:val="000000" w:themeColor="text1"/>
          <w:vertAlign w:val="superscript"/>
          <w:lang w:val="ro-MD"/>
        </w:rPr>
        <w:t>1</w:t>
      </w:r>
      <w:r w:rsidR="00433F1F" w:rsidRPr="000B2CBE">
        <w:rPr>
          <w:color w:val="000000" w:themeColor="text1"/>
          <w:lang w:val="ro-MD"/>
        </w:rPr>
        <w:t xml:space="preserve"> </w:t>
      </w:r>
      <w:r w:rsidRPr="000B2CBE">
        <w:rPr>
          <w:color w:val="000000" w:themeColor="text1"/>
          <w:lang w:val="ro-MD"/>
        </w:rPr>
        <w:t>cu</w:t>
      </w:r>
      <w:r w:rsidR="00433F1F" w:rsidRPr="000B2CBE">
        <w:rPr>
          <w:color w:val="000000" w:themeColor="text1"/>
          <w:lang w:val="ro-MD"/>
        </w:rPr>
        <w:t xml:space="preserve"> următorul cuprins:</w:t>
      </w:r>
    </w:p>
    <w:p w14:paraId="2DDB6C36" w14:textId="77777777" w:rsidR="00BB299A" w:rsidRPr="000B2CBE" w:rsidRDefault="00433F1F" w:rsidP="00BB299A">
      <w:pPr>
        <w:jc w:val="center"/>
        <w:rPr>
          <w:b/>
          <w:bCs/>
          <w:color w:val="000000" w:themeColor="text1"/>
          <w:lang w:val="ro-RO" w:eastAsia="ro-MD"/>
        </w:rPr>
      </w:pPr>
      <w:r w:rsidRPr="000B2CBE">
        <w:rPr>
          <w:color w:val="000000" w:themeColor="text1"/>
          <w:lang w:val="ro-MD"/>
        </w:rPr>
        <w:t>„</w:t>
      </w:r>
      <w:r w:rsidR="00BB299A" w:rsidRPr="000B2CBE">
        <w:rPr>
          <w:b/>
          <w:bCs/>
          <w:color w:val="000000" w:themeColor="text1"/>
          <w:lang w:val="ro-RO" w:eastAsia="ro-MD"/>
        </w:rPr>
        <w:t>Capitolul V</w:t>
      </w:r>
      <w:r w:rsidR="00BB299A" w:rsidRPr="000B2CBE">
        <w:rPr>
          <w:b/>
          <w:bCs/>
          <w:color w:val="000000" w:themeColor="text1"/>
          <w:vertAlign w:val="superscript"/>
          <w:lang w:val="ro-RO" w:eastAsia="ro-MD"/>
        </w:rPr>
        <w:t>1</w:t>
      </w:r>
    </w:p>
    <w:p w14:paraId="55D32690" w14:textId="77777777" w:rsidR="00BB299A" w:rsidRPr="000B2CBE" w:rsidRDefault="00BB299A" w:rsidP="00BB299A">
      <w:pPr>
        <w:jc w:val="center"/>
        <w:rPr>
          <w:b/>
          <w:bCs/>
          <w:color w:val="000000" w:themeColor="text1"/>
          <w:lang w:val="ro-RO" w:eastAsia="ro-MD"/>
        </w:rPr>
      </w:pPr>
      <w:r w:rsidRPr="000B2CBE">
        <w:rPr>
          <w:b/>
          <w:bCs/>
          <w:color w:val="000000" w:themeColor="text1"/>
          <w:lang w:val="ro-RO" w:eastAsia="ro-MD"/>
        </w:rPr>
        <w:t> TIPURI ELIGIBILE DE INSTRUMENTE</w:t>
      </w:r>
    </w:p>
    <w:p w14:paraId="207B3F13" w14:textId="77777777" w:rsidR="00BB299A" w:rsidRPr="000B2CBE" w:rsidRDefault="00BB299A" w:rsidP="00BB299A">
      <w:pPr>
        <w:jc w:val="center"/>
        <w:rPr>
          <w:b/>
          <w:bCs/>
          <w:color w:val="000000" w:themeColor="text1"/>
          <w:lang w:val="ro-RO" w:eastAsia="ro-MD"/>
        </w:rPr>
      </w:pPr>
      <w:r w:rsidRPr="000B2CBE">
        <w:rPr>
          <w:b/>
          <w:bCs/>
          <w:color w:val="000000" w:themeColor="text1"/>
          <w:lang w:val="ro-RO" w:eastAsia="ro-MD"/>
        </w:rPr>
        <w:t>FINANCIARE DERIVATE PE TITLURI DE CAPITAL</w:t>
      </w:r>
    </w:p>
    <w:p w14:paraId="332F90CC" w14:textId="45010950" w:rsidR="00BB299A" w:rsidRPr="000B2CBE" w:rsidRDefault="00BB299A" w:rsidP="00BB299A">
      <w:pPr>
        <w:jc w:val="both"/>
        <w:rPr>
          <w:color w:val="000000" w:themeColor="text1"/>
          <w:lang w:val="ro-RO" w:eastAsia="ro-MD"/>
        </w:rPr>
      </w:pPr>
      <w:r w:rsidRPr="000B2CBE">
        <w:rPr>
          <w:b/>
          <w:bCs/>
          <w:color w:val="000000" w:themeColor="text1"/>
          <w:lang w:val="ro-RO" w:eastAsia="ro-MD"/>
        </w:rPr>
        <w:t>41</w:t>
      </w:r>
      <w:r w:rsidRPr="000B2CBE">
        <w:rPr>
          <w:b/>
          <w:bCs/>
          <w:color w:val="000000" w:themeColor="text1"/>
          <w:vertAlign w:val="superscript"/>
          <w:lang w:val="ro-RO" w:eastAsia="ro-MD"/>
        </w:rPr>
        <w:t>2</w:t>
      </w:r>
      <w:r w:rsidRPr="000B2CBE">
        <w:rPr>
          <w:b/>
          <w:bCs/>
          <w:color w:val="000000" w:themeColor="text1"/>
          <w:lang w:val="ro-RO" w:eastAsia="ro-MD"/>
        </w:rPr>
        <w:t>.</w:t>
      </w:r>
      <w:r w:rsidRPr="000B2CBE">
        <w:rPr>
          <w:color w:val="000000" w:themeColor="text1"/>
          <w:lang w:val="ro-RO" w:eastAsia="ro-MD"/>
        </w:rPr>
        <w:t xml:space="preserve"> Băncile pot utiliza ca protecție a creditului eligibilă instrumente financiare derivate pe titluri de capital care sunt instrumente de tipul total </w:t>
      </w:r>
      <w:proofErr w:type="spellStart"/>
      <w:r w:rsidRPr="000B2CBE">
        <w:rPr>
          <w:color w:val="000000" w:themeColor="text1"/>
          <w:lang w:val="ro-RO" w:eastAsia="ro-MD"/>
        </w:rPr>
        <w:t>return</w:t>
      </w:r>
      <w:proofErr w:type="spellEnd"/>
      <w:r w:rsidRPr="000B2CBE">
        <w:rPr>
          <w:color w:val="000000" w:themeColor="text1"/>
          <w:lang w:val="ro-RO" w:eastAsia="ro-MD"/>
        </w:rPr>
        <w:t xml:space="preserve"> </w:t>
      </w:r>
      <w:proofErr w:type="spellStart"/>
      <w:r w:rsidRPr="000B2CBE">
        <w:rPr>
          <w:color w:val="000000" w:themeColor="text1"/>
          <w:lang w:val="ro-RO" w:eastAsia="ro-MD"/>
        </w:rPr>
        <w:t>swap</w:t>
      </w:r>
      <w:proofErr w:type="spellEnd"/>
      <w:r w:rsidRPr="000B2CBE">
        <w:rPr>
          <w:color w:val="000000" w:themeColor="text1"/>
          <w:lang w:val="ro-RO" w:eastAsia="ro-MD"/>
        </w:rPr>
        <w:t xml:space="preserve"> sau care sunt efectiv similare din punct de vedere economic, dar numai în scopul efectuării de acoperiri interne.</w:t>
      </w:r>
    </w:p>
    <w:p w14:paraId="42D2B43B" w14:textId="45542B3D" w:rsidR="00BB299A" w:rsidRPr="000B2CBE" w:rsidRDefault="00BB299A" w:rsidP="00BB299A">
      <w:pPr>
        <w:jc w:val="both"/>
        <w:rPr>
          <w:color w:val="000000" w:themeColor="text1"/>
          <w:lang w:val="ro-RO" w:eastAsia="ro-MD"/>
        </w:rPr>
      </w:pPr>
      <w:r w:rsidRPr="000B2CBE">
        <w:rPr>
          <w:b/>
          <w:bCs/>
          <w:color w:val="000000" w:themeColor="text1"/>
          <w:lang w:val="ro-RO" w:eastAsia="ro-MD"/>
        </w:rPr>
        <w:t>41</w:t>
      </w:r>
      <w:r w:rsidRPr="000B2CBE">
        <w:rPr>
          <w:b/>
          <w:bCs/>
          <w:color w:val="000000" w:themeColor="text1"/>
          <w:vertAlign w:val="superscript"/>
          <w:lang w:val="ro-RO" w:eastAsia="ro-MD"/>
        </w:rPr>
        <w:t>3</w:t>
      </w:r>
      <w:r w:rsidRPr="000B2CBE">
        <w:rPr>
          <w:b/>
          <w:bCs/>
          <w:color w:val="000000" w:themeColor="text1"/>
          <w:lang w:val="ro-RO" w:eastAsia="ro-MD"/>
        </w:rPr>
        <w:t>.</w:t>
      </w:r>
      <w:r w:rsidRPr="000B2CBE">
        <w:rPr>
          <w:color w:val="000000" w:themeColor="text1"/>
          <w:lang w:val="ro-RO" w:eastAsia="ro-MD"/>
        </w:rPr>
        <w:t xml:space="preserve"> În cazul în care o bancă cumpără protecția creditului prin intermediul unui instrument de tipul total </w:t>
      </w:r>
      <w:proofErr w:type="spellStart"/>
      <w:r w:rsidRPr="000B2CBE">
        <w:rPr>
          <w:color w:val="000000" w:themeColor="text1"/>
          <w:lang w:val="ro-RO" w:eastAsia="ro-MD"/>
        </w:rPr>
        <w:t>return</w:t>
      </w:r>
      <w:proofErr w:type="spellEnd"/>
      <w:r w:rsidRPr="000B2CBE">
        <w:rPr>
          <w:color w:val="000000" w:themeColor="text1"/>
          <w:lang w:val="ro-RO" w:eastAsia="ro-MD"/>
        </w:rPr>
        <w:t xml:space="preserve"> </w:t>
      </w:r>
      <w:proofErr w:type="spellStart"/>
      <w:r w:rsidRPr="000B2CBE">
        <w:rPr>
          <w:color w:val="000000" w:themeColor="text1"/>
          <w:lang w:val="ro-RO" w:eastAsia="ro-MD"/>
        </w:rPr>
        <w:t>swap</w:t>
      </w:r>
      <w:proofErr w:type="spellEnd"/>
      <w:r w:rsidRPr="000B2CBE">
        <w:rPr>
          <w:color w:val="000000" w:themeColor="text1"/>
          <w:lang w:val="ro-RO" w:eastAsia="ro-MD"/>
        </w:rPr>
        <w:t xml:space="preserve"> și înregistrează plățile nete primite aferente </w:t>
      </w:r>
      <w:proofErr w:type="spellStart"/>
      <w:r w:rsidRPr="000B2CBE">
        <w:rPr>
          <w:color w:val="000000" w:themeColor="text1"/>
          <w:lang w:val="ro-RO" w:eastAsia="ro-MD"/>
        </w:rPr>
        <w:t>swapului</w:t>
      </w:r>
      <w:proofErr w:type="spellEnd"/>
      <w:r w:rsidRPr="000B2CBE">
        <w:rPr>
          <w:color w:val="000000" w:themeColor="text1"/>
          <w:lang w:val="ro-RO" w:eastAsia="ro-MD"/>
        </w:rPr>
        <w:t xml:space="preserve"> ca venit net, dar nu înregistrează deteriorarea corespunzătoare a valorii activului protejat, fie prin reducerea valorii juste, </w:t>
      </w:r>
      <w:r w:rsidRPr="000B2CBE">
        <w:rPr>
          <w:color w:val="000000" w:themeColor="text1"/>
          <w:lang w:val="ro-RO" w:eastAsia="ro-MD"/>
        </w:rPr>
        <w:lastRenderedPageBreak/>
        <w:t>fie prin suplimentarea rezervelor, protecția respectivă a creditului nu se califică drept protecție a creditului eligibilă.</w:t>
      </w:r>
    </w:p>
    <w:p w14:paraId="7D04EAED" w14:textId="358EB685" w:rsidR="00BB299A" w:rsidRPr="000B2CBE" w:rsidRDefault="00BB299A" w:rsidP="00BB299A">
      <w:pPr>
        <w:jc w:val="both"/>
        <w:rPr>
          <w:color w:val="000000" w:themeColor="text1"/>
          <w:lang w:val="ro-RO" w:eastAsia="ro-MD"/>
        </w:rPr>
      </w:pPr>
      <w:r w:rsidRPr="000B2CBE">
        <w:rPr>
          <w:b/>
          <w:bCs/>
          <w:color w:val="000000" w:themeColor="text1"/>
          <w:lang w:val="ro-RO" w:eastAsia="ro-MD"/>
        </w:rPr>
        <w:t>41</w:t>
      </w:r>
      <w:r w:rsidRPr="000B2CBE">
        <w:rPr>
          <w:b/>
          <w:bCs/>
          <w:color w:val="000000" w:themeColor="text1"/>
          <w:vertAlign w:val="superscript"/>
          <w:lang w:val="ro-RO" w:eastAsia="ro-MD"/>
        </w:rPr>
        <w:t>4</w:t>
      </w:r>
      <w:r w:rsidRPr="000B2CBE">
        <w:rPr>
          <w:b/>
          <w:bCs/>
          <w:color w:val="000000" w:themeColor="text1"/>
          <w:lang w:val="ro-RO" w:eastAsia="ro-MD"/>
        </w:rPr>
        <w:t>.</w:t>
      </w:r>
      <w:r w:rsidRPr="000B2CBE">
        <w:rPr>
          <w:color w:val="000000" w:themeColor="text1"/>
          <w:lang w:val="ro-RO" w:eastAsia="ro-MD"/>
        </w:rPr>
        <w:t xml:space="preserve"> Dacă o bancă efectuează o acoperire internă a riscului utilizând un instrument financiar derivat pe titluri de capital, pentru ca acoperirea internă să se califice drept protecție a creditului eligibilă, riscul de credit transferat în portofoliul de tranzacționare este transferat în exterior uneia sau mai multor părți terțe.</w:t>
      </w:r>
    </w:p>
    <w:p w14:paraId="11146609" w14:textId="7A48D375" w:rsidR="00433F1F" w:rsidRPr="000B2CBE" w:rsidRDefault="00BB299A" w:rsidP="00BB299A">
      <w:pPr>
        <w:jc w:val="both"/>
        <w:rPr>
          <w:color w:val="000000" w:themeColor="text1"/>
          <w:lang w:val="ro-MD"/>
        </w:rPr>
      </w:pPr>
      <w:r w:rsidRPr="000B2CBE">
        <w:rPr>
          <w:b/>
          <w:bCs/>
          <w:color w:val="000000" w:themeColor="text1"/>
          <w:lang w:val="ro-RO" w:eastAsia="ro-MD"/>
        </w:rPr>
        <w:t>41</w:t>
      </w:r>
      <w:r w:rsidRPr="000B2CBE">
        <w:rPr>
          <w:b/>
          <w:bCs/>
          <w:color w:val="000000" w:themeColor="text1"/>
          <w:vertAlign w:val="superscript"/>
          <w:lang w:val="ro-RO" w:eastAsia="ro-MD"/>
        </w:rPr>
        <w:t>5</w:t>
      </w:r>
      <w:r w:rsidRPr="000B2CBE">
        <w:rPr>
          <w:b/>
          <w:bCs/>
          <w:color w:val="000000" w:themeColor="text1"/>
          <w:lang w:val="ro-RO" w:eastAsia="ro-MD"/>
        </w:rPr>
        <w:t>.</w:t>
      </w:r>
      <w:r w:rsidRPr="000B2CBE">
        <w:rPr>
          <w:color w:val="000000" w:themeColor="text1"/>
          <w:lang w:val="ro-RO" w:eastAsia="ro-MD"/>
        </w:rPr>
        <w:t xml:space="preserve"> Dacă s-a efectuat o acoperire internă a riscului în conformitate cu punctul 41</w:t>
      </w:r>
      <w:r w:rsidRPr="000B2CBE">
        <w:rPr>
          <w:color w:val="000000" w:themeColor="text1"/>
          <w:vertAlign w:val="superscript"/>
          <w:lang w:val="ro-RO" w:eastAsia="ro-MD"/>
        </w:rPr>
        <w:t>4</w:t>
      </w:r>
      <w:r w:rsidRPr="000B2CBE">
        <w:rPr>
          <w:color w:val="000000" w:themeColor="text1"/>
          <w:lang w:val="ro-RO" w:eastAsia="ro-MD"/>
        </w:rPr>
        <w:t>, iar cerințele prevăzute în prezentul regulament au fost îndeplinite, băncile aplică regulile stabilite în titlurile IV – V la calculul valorilor expunerilor ponderate la risc și al cuantumurilor pierderilor așteptate în cazul în care cumpără o protecție nefinanțată a creditului.</w:t>
      </w:r>
      <w:r w:rsidR="00433F1F" w:rsidRPr="000B2CBE">
        <w:rPr>
          <w:color w:val="000000" w:themeColor="text1"/>
          <w:lang w:val="ro-MD"/>
        </w:rPr>
        <w:t>”.</w:t>
      </w:r>
    </w:p>
    <w:p w14:paraId="609F9E6C" w14:textId="5F0E03F3" w:rsidR="000D166D" w:rsidRPr="000B2CBE" w:rsidRDefault="000D166D" w:rsidP="0080165E">
      <w:pPr>
        <w:pStyle w:val="ListParagraph"/>
        <w:numPr>
          <w:ilvl w:val="1"/>
          <w:numId w:val="27"/>
        </w:numPr>
        <w:tabs>
          <w:tab w:val="left" w:pos="567"/>
        </w:tabs>
        <w:ind w:firstLine="203"/>
        <w:jc w:val="both"/>
        <w:rPr>
          <w:color w:val="000000" w:themeColor="text1"/>
          <w:lang w:val="ro-MD"/>
        </w:rPr>
      </w:pPr>
      <w:r w:rsidRPr="000B2CBE">
        <w:rPr>
          <w:color w:val="000000" w:themeColor="text1"/>
          <w:lang w:val="ro-MD"/>
        </w:rPr>
        <w:t xml:space="preserve">Punctul </w:t>
      </w:r>
      <w:r w:rsidR="00D71CDA" w:rsidRPr="000B2CBE">
        <w:rPr>
          <w:color w:val="000000" w:themeColor="text1"/>
          <w:lang w:val="ro-MD"/>
        </w:rPr>
        <w:t>46</w:t>
      </w:r>
      <w:r w:rsidRPr="000B2CBE">
        <w:rPr>
          <w:color w:val="000000" w:themeColor="text1"/>
          <w:lang w:val="ro-MD"/>
        </w:rPr>
        <w:t xml:space="preserve"> </w:t>
      </w:r>
      <w:r w:rsidR="00D71CDA" w:rsidRPr="000B2CBE">
        <w:rPr>
          <w:color w:val="000000" w:themeColor="text1"/>
          <w:lang w:val="ro-MD"/>
        </w:rPr>
        <w:t>va avea următorul cuprins:</w:t>
      </w:r>
    </w:p>
    <w:p w14:paraId="06070AE5" w14:textId="0A1E7242" w:rsidR="00473EF4" w:rsidRPr="000B2CBE" w:rsidRDefault="00D039A9" w:rsidP="00D71CDA">
      <w:pPr>
        <w:jc w:val="both"/>
        <w:rPr>
          <w:color w:val="000000" w:themeColor="text1"/>
          <w:lang w:val="ro-MD"/>
        </w:rPr>
      </w:pPr>
      <w:r w:rsidRPr="000B2CBE">
        <w:rPr>
          <w:color w:val="000000" w:themeColor="text1"/>
          <w:lang w:val="ro-MD"/>
        </w:rPr>
        <w:t>„</w:t>
      </w:r>
      <w:r w:rsidRPr="000B2CBE">
        <w:rPr>
          <w:b/>
          <w:bCs/>
          <w:color w:val="000000" w:themeColor="text1"/>
          <w:lang w:val="ro-MD"/>
        </w:rPr>
        <w:t>4</w:t>
      </w:r>
      <w:r w:rsidR="00D71CDA" w:rsidRPr="000B2CBE">
        <w:rPr>
          <w:b/>
          <w:bCs/>
          <w:color w:val="000000" w:themeColor="text1"/>
          <w:lang w:val="ro-MD"/>
        </w:rPr>
        <w:t>6</w:t>
      </w:r>
      <w:r w:rsidRPr="000B2CBE">
        <w:rPr>
          <w:b/>
          <w:bCs/>
          <w:color w:val="000000" w:themeColor="text1"/>
          <w:lang w:val="ro-MD"/>
        </w:rPr>
        <w:t>.</w:t>
      </w:r>
      <w:r w:rsidRPr="000B2CBE">
        <w:rPr>
          <w:color w:val="000000" w:themeColor="text1"/>
          <w:lang w:val="ro-MD"/>
        </w:rPr>
        <w:t xml:space="preserve"> </w:t>
      </w:r>
      <w:r w:rsidR="00D71CDA" w:rsidRPr="000B2CBE">
        <w:rPr>
          <w:color w:val="000000" w:themeColor="text1"/>
          <w:lang w:val="ro-RO" w:eastAsia="ro-MD"/>
        </w:rPr>
        <w:t>Titlurile emise de debitor sau de orice altă entitate din grup nu se califică drept garanții reale eligibile.</w:t>
      </w:r>
      <w:r w:rsidR="00D71CDA" w:rsidRPr="009C332D">
        <w:rPr>
          <w:color w:val="000000" w:themeColor="text1"/>
          <w:lang w:val="ro-MD"/>
        </w:rPr>
        <w:t xml:space="preserve"> </w:t>
      </w:r>
      <w:r w:rsidR="00D71CDA" w:rsidRPr="000B2CBE">
        <w:rPr>
          <w:color w:val="000000" w:themeColor="text1"/>
          <w:lang w:val="ro-RO" w:eastAsia="ro-MD"/>
        </w:rPr>
        <w:t>Cu toate acestea, obligațiunile garantate emise de debitor, care respectă condițiile prevăzute în Regulamentul nr.111/2018, se califică drept garanții reale eligibile atunci când sunt constituite cu titlu de garanții reale pentru o tranzacție de răscumpărare, cu condiția să respecte dispozițiile prevăzute la punctul 45.</w:t>
      </w:r>
      <w:r w:rsidR="005F4D74" w:rsidRPr="000B2CBE">
        <w:rPr>
          <w:color w:val="000000" w:themeColor="text1"/>
          <w:lang w:val="ro-MD"/>
        </w:rPr>
        <w:t>”.</w:t>
      </w:r>
    </w:p>
    <w:p w14:paraId="53F35A6B" w14:textId="5E4AF410" w:rsidR="007B1AF8" w:rsidRPr="000B2CBE" w:rsidRDefault="004B6508" w:rsidP="00D515E4">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Punctul 49, sub</w:t>
      </w:r>
      <w:r w:rsidR="007B1AF8" w:rsidRPr="000B2CBE">
        <w:rPr>
          <w:color w:val="000000" w:themeColor="text1"/>
          <w:lang w:val="ro-MD"/>
        </w:rPr>
        <w:t xml:space="preserve">punctul </w:t>
      </w:r>
      <w:r w:rsidRPr="000B2CBE">
        <w:rPr>
          <w:color w:val="000000" w:themeColor="text1"/>
          <w:lang w:val="ro-MD"/>
        </w:rPr>
        <w:t>4) se completează cu textul „ considerații legate de riscurile de mediu, social și guvernanță determină efectuarea unei evaluări pentru a se stabili dacă a avut loc o scădere semnificativă a valorii de piață a garanției reale;”.</w:t>
      </w:r>
    </w:p>
    <w:p w14:paraId="205494D5" w14:textId="2877C1A4" w:rsidR="004B6508" w:rsidRPr="000B2CBE" w:rsidRDefault="004B6508" w:rsidP="00D515E4">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Se completează cu punctul 5</w:t>
      </w:r>
      <w:r w:rsidR="00AF0AFE" w:rsidRPr="000B2CBE">
        <w:rPr>
          <w:color w:val="000000" w:themeColor="text1"/>
          <w:lang w:val="ro-MD"/>
        </w:rPr>
        <w:t>0</w:t>
      </w:r>
      <w:r w:rsidRPr="000B2CBE">
        <w:rPr>
          <w:color w:val="000000" w:themeColor="text1"/>
          <w:vertAlign w:val="superscript"/>
          <w:lang w:val="ro-MD"/>
        </w:rPr>
        <w:t>1</w:t>
      </w:r>
      <w:r w:rsidRPr="000B2CBE">
        <w:rPr>
          <w:color w:val="000000" w:themeColor="text1"/>
          <w:lang w:val="ro-MD"/>
        </w:rPr>
        <w:t xml:space="preserve"> cu următorul cuprins:</w:t>
      </w:r>
    </w:p>
    <w:p w14:paraId="0C87B2D5" w14:textId="5BABC5DC" w:rsidR="004B6508" w:rsidRPr="000B2CBE" w:rsidRDefault="004B6508" w:rsidP="003533CA">
      <w:pPr>
        <w:tabs>
          <w:tab w:val="left" w:pos="567"/>
        </w:tabs>
        <w:jc w:val="both"/>
        <w:rPr>
          <w:color w:val="000000" w:themeColor="text1"/>
          <w:lang w:val="ro-MD"/>
        </w:rPr>
      </w:pPr>
      <w:r w:rsidRPr="000B2CBE">
        <w:rPr>
          <w:color w:val="000000" w:themeColor="text1"/>
          <w:lang w:val="ro-MD"/>
        </w:rPr>
        <w:t>„</w:t>
      </w:r>
      <w:r w:rsidRPr="000B2CBE">
        <w:rPr>
          <w:b/>
          <w:bCs/>
          <w:color w:val="000000" w:themeColor="text1"/>
          <w:lang w:val="ro-RO" w:eastAsia="ro-MD"/>
        </w:rPr>
        <w:t>5</w:t>
      </w:r>
      <w:r w:rsidR="00AF0AFE" w:rsidRPr="000B2CBE">
        <w:rPr>
          <w:b/>
          <w:bCs/>
          <w:color w:val="000000" w:themeColor="text1"/>
          <w:lang w:val="ro-RO" w:eastAsia="ro-MD"/>
        </w:rPr>
        <w:t>0</w:t>
      </w:r>
      <w:r w:rsidRPr="000B2CBE">
        <w:rPr>
          <w:b/>
          <w:bCs/>
          <w:color w:val="000000" w:themeColor="text1"/>
          <w:vertAlign w:val="superscript"/>
          <w:lang w:val="ro-RO" w:eastAsia="ro-MD"/>
        </w:rPr>
        <w:t>1</w:t>
      </w:r>
      <w:r w:rsidRPr="000B2CBE">
        <w:rPr>
          <w:b/>
          <w:bCs/>
          <w:color w:val="000000" w:themeColor="text1"/>
          <w:lang w:val="ro-RO" w:eastAsia="ro-MD"/>
        </w:rPr>
        <w:t>.</w:t>
      </w:r>
      <w:r w:rsidRPr="000B2CBE">
        <w:rPr>
          <w:color w:val="000000" w:themeColor="text1"/>
          <w:lang w:val="ro-RO" w:eastAsia="ro-MD"/>
        </w:rPr>
        <w:t xml:space="preserve"> Bunurile imobile se califică drept garanții reale eligibile numai dacă sunt îndeplinite toate cerințele prevăzute în anexa nr.2 la Regulamentul nr.111/2018</w:t>
      </w:r>
      <w:r w:rsidR="00AF0AFE" w:rsidRPr="000B2CBE">
        <w:rPr>
          <w:color w:val="000000" w:themeColor="text1"/>
          <w:lang w:val="ro-RO" w:eastAsia="ro-MD"/>
        </w:rPr>
        <w:t>.”.</w:t>
      </w:r>
    </w:p>
    <w:p w14:paraId="4374C3B4" w14:textId="77777777" w:rsidR="00AF0AFE" w:rsidRPr="000B2CBE" w:rsidRDefault="00AF0AFE" w:rsidP="008F595B">
      <w:pPr>
        <w:pStyle w:val="ListParagraph"/>
        <w:numPr>
          <w:ilvl w:val="1"/>
          <w:numId w:val="27"/>
        </w:numPr>
        <w:tabs>
          <w:tab w:val="left" w:pos="567"/>
        </w:tabs>
        <w:spacing w:before="80"/>
        <w:ind w:left="0" w:firstLine="567"/>
        <w:jc w:val="both"/>
        <w:rPr>
          <w:color w:val="000000" w:themeColor="text1"/>
          <w:lang w:val="ro-MD"/>
        </w:rPr>
      </w:pPr>
      <w:r w:rsidRPr="000B2CBE">
        <w:rPr>
          <w:color w:val="000000" w:themeColor="text1"/>
          <w:lang w:val="ro-MD"/>
        </w:rPr>
        <w:t>Capitolul VI se completează cu secțiunile 2</w:t>
      </w:r>
      <w:r w:rsidRPr="000B2CBE">
        <w:rPr>
          <w:color w:val="000000" w:themeColor="text1"/>
          <w:vertAlign w:val="superscript"/>
          <w:lang w:val="ro-MD"/>
        </w:rPr>
        <w:t>1</w:t>
      </w:r>
      <w:r w:rsidRPr="000B2CBE">
        <w:rPr>
          <w:color w:val="000000" w:themeColor="text1"/>
          <w:lang w:val="ro-MD"/>
        </w:rPr>
        <w:t xml:space="preserve"> și 2</w:t>
      </w:r>
      <w:r w:rsidRPr="000B2CBE">
        <w:rPr>
          <w:color w:val="000000" w:themeColor="text1"/>
          <w:vertAlign w:val="superscript"/>
          <w:lang w:val="ro-MD"/>
        </w:rPr>
        <w:t>2</w:t>
      </w:r>
      <w:r w:rsidRPr="000B2CBE">
        <w:rPr>
          <w:color w:val="000000" w:themeColor="text1"/>
          <w:lang w:val="ro-MD"/>
        </w:rPr>
        <w:t xml:space="preserve"> cu următorul cuprins:</w:t>
      </w:r>
    </w:p>
    <w:p w14:paraId="064287DF" w14:textId="77777777" w:rsidR="00962019" w:rsidRPr="000B2CBE" w:rsidRDefault="00AF0AFE" w:rsidP="00962019">
      <w:pPr>
        <w:jc w:val="center"/>
        <w:rPr>
          <w:color w:val="000000" w:themeColor="text1"/>
          <w:lang w:val="ro-RO" w:eastAsia="ro-MD"/>
        </w:rPr>
      </w:pPr>
      <w:r w:rsidRPr="000B2CBE">
        <w:rPr>
          <w:color w:val="000000" w:themeColor="text1"/>
          <w:lang w:val="ro-MD"/>
        </w:rPr>
        <w:t xml:space="preserve">„ </w:t>
      </w:r>
      <w:r w:rsidR="00962019" w:rsidRPr="000B2CBE">
        <w:rPr>
          <w:b/>
          <w:bCs/>
          <w:i/>
          <w:iCs/>
          <w:color w:val="000000" w:themeColor="text1"/>
          <w:lang w:val="ro-RO" w:eastAsia="ro-MD"/>
        </w:rPr>
        <w:t>Secțiunea a 2</w:t>
      </w:r>
      <w:r w:rsidR="00962019" w:rsidRPr="000B2CBE">
        <w:rPr>
          <w:b/>
          <w:bCs/>
          <w:i/>
          <w:iCs/>
          <w:color w:val="000000" w:themeColor="text1"/>
          <w:vertAlign w:val="superscript"/>
          <w:lang w:val="ro-RO" w:eastAsia="ro-MD"/>
        </w:rPr>
        <w:t>1</w:t>
      </w:r>
      <w:r w:rsidR="00962019" w:rsidRPr="000B2CBE">
        <w:rPr>
          <w:b/>
          <w:bCs/>
          <w:i/>
          <w:iCs/>
          <w:color w:val="000000" w:themeColor="text1"/>
          <w:lang w:val="ro-RO" w:eastAsia="ro-MD"/>
        </w:rPr>
        <w:t>-a</w:t>
      </w:r>
    </w:p>
    <w:p w14:paraId="416330E8" w14:textId="77777777" w:rsidR="00962019" w:rsidRPr="000B2CBE" w:rsidRDefault="00962019" w:rsidP="00962019">
      <w:pPr>
        <w:jc w:val="center"/>
        <w:rPr>
          <w:color w:val="000000" w:themeColor="text1"/>
          <w:lang w:val="ro-RO" w:eastAsia="ro-MD"/>
        </w:rPr>
      </w:pPr>
      <w:r w:rsidRPr="000B2CBE">
        <w:rPr>
          <w:b/>
          <w:bCs/>
          <w:i/>
          <w:iCs/>
          <w:color w:val="000000" w:themeColor="text1"/>
          <w:lang w:val="ro-RO" w:eastAsia="ro-MD"/>
        </w:rPr>
        <w:t> Cerințe privind creanțele</w:t>
      </w:r>
    </w:p>
    <w:p w14:paraId="15580548" w14:textId="3BB6F2F1" w:rsidR="00962019" w:rsidRPr="000B2CBE" w:rsidRDefault="00962019" w:rsidP="00962019">
      <w:pPr>
        <w:jc w:val="both"/>
        <w:rPr>
          <w:color w:val="000000" w:themeColor="text1"/>
          <w:lang w:val="ro-RO" w:eastAsia="ro-MD"/>
        </w:rPr>
      </w:pPr>
      <w:r w:rsidRPr="000B2CBE">
        <w:rPr>
          <w:b/>
          <w:bCs/>
          <w:color w:val="000000" w:themeColor="text1"/>
          <w:lang w:val="ro-RO" w:eastAsia="ro-MD"/>
        </w:rPr>
        <w:t>50</w:t>
      </w:r>
      <w:r w:rsidRPr="000B2CBE">
        <w:rPr>
          <w:b/>
          <w:bCs/>
          <w:color w:val="000000" w:themeColor="text1"/>
          <w:vertAlign w:val="superscript"/>
          <w:lang w:val="ro-RO" w:eastAsia="ro-MD"/>
        </w:rPr>
        <w:t>2</w:t>
      </w:r>
      <w:r w:rsidRPr="000B2CBE">
        <w:rPr>
          <w:b/>
          <w:bCs/>
          <w:color w:val="000000" w:themeColor="text1"/>
          <w:lang w:val="ro-RO" w:eastAsia="ro-MD"/>
        </w:rPr>
        <w:t>.</w:t>
      </w:r>
      <w:r w:rsidRPr="000B2CBE">
        <w:rPr>
          <w:color w:val="000000" w:themeColor="text1"/>
          <w:lang w:val="ro-RO" w:eastAsia="ro-MD"/>
        </w:rPr>
        <w:t xml:space="preserve"> Creanțele se califică drept garanții reale eligibile dacă sunt îndeplinite cumulativ cerințele prevăzute la punctele 5</w:t>
      </w:r>
      <w:r w:rsidR="00F863E6" w:rsidRPr="000B2CBE">
        <w:rPr>
          <w:color w:val="000000" w:themeColor="text1"/>
          <w:lang w:val="ro-RO" w:eastAsia="ro-MD"/>
        </w:rPr>
        <w:t>0</w:t>
      </w:r>
      <w:r w:rsidRPr="000B2CBE">
        <w:rPr>
          <w:color w:val="000000" w:themeColor="text1"/>
          <w:vertAlign w:val="superscript"/>
          <w:lang w:val="ro-RO" w:eastAsia="ro-MD"/>
        </w:rPr>
        <w:t>3</w:t>
      </w:r>
      <w:r w:rsidRPr="000B2CBE">
        <w:rPr>
          <w:color w:val="000000" w:themeColor="text1"/>
          <w:lang w:val="ro-RO" w:eastAsia="ro-MD"/>
        </w:rPr>
        <w:t xml:space="preserve"> și 5</w:t>
      </w:r>
      <w:r w:rsidR="00F863E6" w:rsidRPr="000B2CBE">
        <w:rPr>
          <w:color w:val="000000" w:themeColor="text1"/>
          <w:lang w:val="ro-RO" w:eastAsia="ro-MD"/>
        </w:rPr>
        <w:t>0</w:t>
      </w:r>
      <w:r w:rsidRPr="000B2CBE">
        <w:rPr>
          <w:color w:val="000000" w:themeColor="text1"/>
          <w:vertAlign w:val="superscript"/>
          <w:lang w:val="ro-RO" w:eastAsia="ro-MD"/>
        </w:rPr>
        <w:t>4</w:t>
      </w:r>
      <w:r w:rsidRPr="000B2CBE">
        <w:rPr>
          <w:color w:val="000000" w:themeColor="text1"/>
          <w:lang w:val="ro-RO" w:eastAsia="ro-MD"/>
        </w:rPr>
        <w:t>.</w:t>
      </w:r>
    </w:p>
    <w:p w14:paraId="6CCF5C31" w14:textId="77777777" w:rsidR="00962019" w:rsidRPr="000B2CBE" w:rsidRDefault="00962019" w:rsidP="00962019">
      <w:pPr>
        <w:jc w:val="both"/>
        <w:rPr>
          <w:color w:val="000000" w:themeColor="text1"/>
          <w:lang w:val="ro-RO" w:eastAsia="ro-MD"/>
        </w:rPr>
      </w:pPr>
      <w:r w:rsidRPr="000B2CBE">
        <w:rPr>
          <w:b/>
          <w:bCs/>
          <w:color w:val="000000" w:themeColor="text1"/>
          <w:lang w:val="ro-RO" w:eastAsia="ro-MD"/>
        </w:rPr>
        <w:t>50</w:t>
      </w:r>
      <w:r w:rsidRPr="000B2CBE">
        <w:rPr>
          <w:b/>
          <w:bCs/>
          <w:color w:val="000000" w:themeColor="text1"/>
          <w:vertAlign w:val="superscript"/>
          <w:lang w:val="ro-RO" w:eastAsia="ro-MD"/>
        </w:rPr>
        <w:t>3</w:t>
      </w:r>
      <w:r w:rsidRPr="000B2CBE">
        <w:rPr>
          <w:b/>
          <w:bCs/>
          <w:color w:val="000000" w:themeColor="text1"/>
          <w:lang w:val="ro-RO" w:eastAsia="ro-MD"/>
        </w:rPr>
        <w:t>.</w:t>
      </w:r>
      <w:r w:rsidRPr="000B2CBE">
        <w:rPr>
          <w:color w:val="000000" w:themeColor="text1"/>
          <w:lang w:val="ro-RO" w:eastAsia="ro-MD"/>
        </w:rPr>
        <w:t xml:space="preserve"> Trebuie îndeplinite următoarele cerințe privind securitatea juridică:</w:t>
      </w:r>
    </w:p>
    <w:p w14:paraId="6A10B71D" w14:textId="64932002"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1) mecanismul juridic prin intermediul căruia garanția reală este furnizată unei bănci creditoare trebuie să fie robust și eficace și să asigure existența unor drepturi clare ale băncii respective asupra garanției reale, inclusiv dreptul asupra încasărilor din vânzarea garanției reale;</w:t>
      </w:r>
    </w:p>
    <w:p w14:paraId="1E4DC25B" w14:textId="51099201"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2) băncile trebuie să ia toate măsurile necesare pentru a îndeplini cerințele locale privind caracterul executoriu al garanției reale. Băncile creditoare trebuie să dețină un drept prioritar de prim rang asupra garanției reale, deși astfel de drepturi pot fi subordonate drepturilor creditorilor privilegiați prevăzuți în dispozițiile legislative;</w:t>
      </w:r>
    </w:p>
    <w:p w14:paraId="2825E956" w14:textId="325C2823"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3) băncile trebuie să efectueze o analiză juridică, considerată suficientă pentru a confirma caracterul executoriu al contractelor de garanție reală în toate jurisdicțiile relevante;</w:t>
      </w:r>
    </w:p>
    <w:p w14:paraId="51755EA2" w14:textId="06033CD7"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4) băncile trebuie să formalizeze în mod corespunzător contractele de garanție reală și să dispună de proceduri clare și solide pentru încasarea în timp util a garanției reale;</w:t>
      </w:r>
    </w:p>
    <w:p w14:paraId="1EBC5741" w14:textId="7EC08927"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5) băncile trebuie să dispună de proceduri care să asigure respectarea tuturor condițiilor juridice cerute pentru declararea stării de nerambursare a unui credit și încasarea în timp util a garanției reale;</w:t>
      </w:r>
    </w:p>
    <w:p w14:paraId="3A6C0964" w14:textId="5058FEC5"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6) în cazul în care un credit are dificultăți financiare sau se află în stare de nerambursare, băncile trebuie să aibă autoritatea legală de a vinde sau de a ceda creanțele altor părți, fără consimțământul debitorilor cedați.</w:t>
      </w:r>
    </w:p>
    <w:p w14:paraId="5DB124AE" w14:textId="4DE1C9FD" w:rsidR="00962019" w:rsidRPr="000B2CBE" w:rsidRDefault="00962019" w:rsidP="00962019">
      <w:pPr>
        <w:jc w:val="both"/>
        <w:rPr>
          <w:color w:val="000000" w:themeColor="text1"/>
          <w:lang w:val="ro-RO" w:eastAsia="ro-MD"/>
        </w:rPr>
      </w:pPr>
      <w:r w:rsidRPr="000B2CBE">
        <w:rPr>
          <w:b/>
          <w:bCs/>
          <w:color w:val="000000" w:themeColor="text1"/>
          <w:lang w:val="ro-RO" w:eastAsia="ro-MD"/>
        </w:rPr>
        <w:t>50</w:t>
      </w:r>
      <w:r w:rsidRPr="000B2CBE">
        <w:rPr>
          <w:b/>
          <w:bCs/>
          <w:color w:val="000000" w:themeColor="text1"/>
          <w:vertAlign w:val="superscript"/>
          <w:lang w:val="ro-RO" w:eastAsia="ro-MD"/>
        </w:rPr>
        <w:t>4</w:t>
      </w:r>
      <w:r w:rsidRPr="000B2CBE">
        <w:rPr>
          <w:b/>
          <w:bCs/>
          <w:color w:val="000000" w:themeColor="text1"/>
          <w:lang w:val="ro-RO" w:eastAsia="ro-MD"/>
        </w:rPr>
        <w:t>.</w:t>
      </w:r>
      <w:r w:rsidRPr="000B2CBE">
        <w:rPr>
          <w:color w:val="000000" w:themeColor="text1"/>
          <w:lang w:val="ro-RO" w:eastAsia="ro-MD"/>
        </w:rPr>
        <w:t xml:space="preserve"> Trebuie îndeplinite următoarele cerințe privind </w:t>
      </w:r>
      <w:r w:rsidR="00DD0BDA" w:rsidRPr="000B2CBE">
        <w:rPr>
          <w:color w:val="000000" w:themeColor="text1"/>
          <w:lang w:val="ro-RO" w:eastAsia="ro-MD"/>
        </w:rPr>
        <w:t>administrarea</w:t>
      </w:r>
      <w:r w:rsidRPr="000B2CBE">
        <w:rPr>
          <w:color w:val="000000" w:themeColor="text1"/>
          <w:lang w:val="ro-RO" w:eastAsia="ro-MD"/>
        </w:rPr>
        <w:t xml:space="preserve"> riscurilor:</w:t>
      </w:r>
    </w:p>
    <w:p w14:paraId="6FD921DE" w14:textId="3CDA7BB0"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 xml:space="preserve">1) o bancă trebuie să dispună de un proces riguros pentru determinarea riscului de credit asociat creanțelor. Un astfel de proces trebuie să includă analiza activității debitorului și a sectorului în care </w:t>
      </w:r>
      <w:r w:rsidRPr="000B2CBE">
        <w:rPr>
          <w:color w:val="000000" w:themeColor="text1"/>
          <w:lang w:val="ro-RO" w:eastAsia="ro-MD"/>
        </w:rPr>
        <w:lastRenderedPageBreak/>
        <w:t>acesta își desfășoară activitatea, precum și a tipurilor de clienți cu care debitorul intră în relații de afaceri. Atunci când banca recurge la debitori pentru a stabili riscul de credit al clienților, banca trebuie să reexamineze practicile de credit ale debitorilor pentru a se asigura de fiabilitatea și credibilitatea acestora;</w:t>
      </w:r>
    </w:p>
    <w:p w14:paraId="77F528BF" w14:textId="221374B2"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2) diferența dintre cuantumul expunerii și valoarea creanțelor trebuie să reflecte toți factorii corespunzători, inclusiv costul colectării, gradul de concentrare din cadrul portofoliului de creanțe aduse în garanție de același debitor și riscul potențial de concentrare la nivelul expunerilor totale ale băncii, dincolo de nivelul riscului de concentrare controlat prin metodologia generală a băncii. Băncile trebuie să dispună de un proces permanent de monitorizare a creanțelor, adecvat acestora. Băncile trebuie, de asemenea, să verifice cu regularitate respectarea clauzelor contractelor de credit, a restricțiilor de mediu și a altor cerințe legale;</w:t>
      </w:r>
    </w:p>
    <w:p w14:paraId="13292532" w14:textId="039A26E7"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3) creanțele aduse în garanție de un debitor trebuie să fie diversificate și nu trebuie să fie corelate în mod nejustificat cu situația debitorului. În cazul în care există o corelație pozitivă semnificativă, băncile trebuie să țină seama de riscurile asociate atunci când stabilesc marjele pentru portofoliul de garanții reale, în ansamblul său;</w:t>
      </w:r>
    </w:p>
    <w:p w14:paraId="2C84A1BE" w14:textId="7DA77484"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4) băncile nu trebuie să utilizeze ca protecție eligibilă a creditului creanțe provenind de la afiliații unui debitor, inclusiv de la filialele și angajații acestuia;</w:t>
      </w:r>
    </w:p>
    <w:p w14:paraId="773DC0CD" w14:textId="2247F525"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5) băncile trebuie să dispună de un proces formalizat pentru colectarea, în situații dificile, a plăților aferente creanțelor. Băncile trebuie să dispună de facilitățile necesare pentru colectare, chiar dacă, în mod normal, se bazează pe debitori pentru colectare.</w:t>
      </w:r>
    </w:p>
    <w:p w14:paraId="696CC671" w14:textId="77777777" w:rsidR="00962019" w:rsidRPr="000B2CBE" w:rsidRDefault="00962019" w:rsidP="00DD0BDA">
      <w:pPr>
        <w:spacing w:before="120"/>
        <w:jc w:val="center"/>
        <w:rPr>
          <w:color w:val="000000" w:themeColor="text1"/>
          <w:lang w:val="ro-RO" w:eastAsia="ro-MD"/>
        </w:rPr>
      </w:pPr>
      <w:r w:rsidRPr="000B2CBE">
        <w:rPr>
          <w:b/>
          <w:bCs/>
          <w:i/>
          <w:iCs/>
          <w:color w:val="000000" w:themeColor="text1"/>
          <w:lang w:val="ro-RO" w:eastAsia="ro-MD"/>
        </w:rPr>
        <w:t>Secțiunea a 2</w:t>
      </w:r>
      <w:r w:rsidRPr="000B2CBE">
        <w:rPr>
          <w:b/>
          <w:bCs/>
          <w:i/>
          <w:iCs/>
          <w:color w:val="000000" w:themeColor="text1"/>
          <w:vertAlign w:val="superscript"/>
          <w:lang w:val="ro-RO" w:eastAsia="ro-MD"/>
        </w:rPr>
        <w:t>2</w:t>
      </w:r>
      <w:r w:rsidRPr="000B2CBE">
        <w:rPr>
          <w:b/>
          <w:bCs/>
          <w:i/>
          <w:iCs/>
          <w:color w:val="000000" w:themeColor="text1"/>
          <w:lang w:val="ro-RO" w:eastAsia="ro-MD"/>
        </w:rPr>
        <w:t>-a</w:t>
      </w:r>
    </w:p>
    <w:p w14:paraId="0D05DA09" w14:textId="77777777" w:rsidR="00962019" w:rsidRPr="000B2CBE" w:rsidRDefault="00962019" w:rsidP="00DD0BDA">
      <w:pPr>
        <w:spacing w:after="120"/>
        <w:jc w:val="center"/>
        <w:rPr>
          <w:color w:val="000000" w:themeColor="text1"/>
          <w:lang w:val="ro-RO" w:eastAsia="ro-MD"/>
        </w:rPr>
      </w:pPr>
      <w:r w:rsidRPr="000B2CBE">
        <w:rPr>
          <w:b/>
          <w:bCs/>
          <w:i/>
          <w:iCs/>
          <w:color w:val="000000" w:themeColor="text1"/>
          <w:lang w:val="ro-RO" w:eastAsia="ro-MD"/>
        </w:rPr>
        <w:t> Cerințe privind alte garanții reale corporale și</w:t>
      </w:r>
      <w:r w:rsidRPr="009C332D">
        <w:rPr>
          <w:color w:val="000000" w:themeColor="text1"/>
          <w:lang w:val="ro-RO"/>
        </w:rPr>
        <w:t xml:space="preserve"> </w:t>
      </w:r>
      <w:r w:rsidRPr="000B2CBE">
        <w:rPr>
          <w:b/>
          <w:bCs/>
          <w:i/>
          <w:iCs/>
          <w:color w:val="000000" w:themeColor="text1"/>
          <w:lang w:val="ro-RO" w:eastAsia="ro-MD"/>
        </w:rPr>
        <w:t>privind tratarea expunerilor decurgând din operațiuni de leasing ca expuneri acoperite cu garanții reale</w:t>
      </w:r>
    </w:p>
    <w:p w14:paraId="348A3DD9" w14:textId="77777777" w:rsidR="00962019" w:rsidRPr="000B2CBE" w:rsidRDefault="00962019" w:rsidP="00962019">
      <w:pPr>
        <w:jc w:val="both"/>
        <w:rPr>
          <w:color w:val="000000" w:themeColor="text1"/>
          <w:lang w:val="ro-RO" w:eastAsia="ro-MD"/>
        </w:rPr>
      </w:pPr>
      <w:r w:rsidRPr="000B2CBE">
        <w:rPr>
          <w:b/>
          <w:bCs/>
          <w:color w:val="000000" w:themeColor="text1"/>
          <w:lang w:val="ro-RO" w:eastAsia="ro-MD"/>
        </w:rPr>
        <w:t>50</w:t>
      </w:r>
      <w:r w:rsidRPr="000B2CBE">
        <w:rPr>
          <w:b/>
          <w:bCs/>
          <w:color w:val="000000" w:themeColor="text1"/>
          <w:vertAlign w:val="superscript"/>
          <w:lang w:val="ro-RO" w:eastAsia="ro-MD"/>
        </w:rPr>
        <w:t>5</w:t>
      </w:r>
      <w:r w:rsidRPr="000B2CBE">
        <w:rPr>
          <w:b/>
          <w:bCs/>
          <w:color w:val="000000" w:themeColor="text1"/>
          <w:lang w:val="ro-RO" w:eastAsia="ro-MD"/>
        </w:rPr>
        <w:t>.</w:t>
      </w:r>
      <w:r w:rsidRPr="000B2CBE">
        <w:rPr>
          <w:color w:val="000000" w:themeColor="text1"/>
          <w:lang w:val="ro-RO" w:eastAsia="ro-MD"/>
        </w:rPr>
        <w:t xml:space="preserve"> Garanțiile reale corporale, altele decât garanțiile sub forma bunurilor imobile, se califică drept garanții reale eligibile în cadrul abordării IRB, dacă sunt îndeplinite cumulativ următoarele condiții:</w:t>
      </w:r>
    </w:p>
    <w:p w14:paraId="3673789D" w14:textId="48035F5A"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1) contractul de garanție reală în temeiul căruia garanțiile reale corporale sunt furnizate unei bănci este eficace și executoriu din punct de vedere juridic în toate jurisdicțiile relevante și permite băncii respective să valorifice garanția reală într-un interval de timp rezonabil;</w:t>
      </w:r>
    </w:p>
    <w:p w14:paraId="06E6DD28" w14:textId="5E2BEDC6"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2) cu singura excepție a drepturilor de prim rang care pot fi permise, menționate la punctul 5</w:t>
      </w:r>
      <w:r w:rsidR="00A669CB" w:rsidRPr="000B2CBE">
        <w:rPr>
          <w:color w:val="000000" w:themeColor="text1"/>
          <w:lang w:val="ro-RO" w:eastAsia="ro-MD"/>
        </w:rPr>
        <w:t>0</w:t>
      </w:r>
      <w:r w:rsidRPr="000B2CBE">
        <w:rPr>
          <w:color w:val="000000" w:themeColor="text1"/>
          <w:vertAlign w:val="superscript"/>
          <w:lang w:val="ro-RO" w:eastAsia="ro-MD"/>
        </w:rPr>
        <w:t>3</w:t>
      </w:r>
      <w:r w:rsidRPr="000B2CBE">
        <w:rPr>
          <w:color w:val="000000" w:themeColor="text1"/>
          <w:lang w:val="ro-RO" w:eastAsia="ro-MD"/>
        </w:rPr>
        <w:t xml:space="preserve"> subpunctul 2), numai drepturile de prim rang sau privilegiile asupra garanției reale se califică drept garanții reale eligibile, iar o bancă are prioritate față de toți ceilalți creditori asupra sumelor obținute în urma executării garanției reale;</w:t>
      </w:r>
    </w:p>
    <w:p w14:paraId="61BEEAE5" w14:textId="13FD142B"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3) băncile monitorizează valoarea garanției reale în mod frecvent, respectiv cel puțin anual. Frecvența de monitorizare crește în cazul în care condițiile de piață suferă modificări semnificative;</w:t>
      </w:r>
    </w:p>
    <w:p w14:paraId="74464933" w14:textId="41123231"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4) contractul de credit include descrieri detaliate ale garanțiilor reale și specifică în detaliu modalitatea și frecvența reevaluării;</w:t>
      </w:r>
    </w:p>
    <w:p w14:paraId="47732CF4" w14:textId="778BEF78"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5) băncile formalizează clar în cadrul politicilor și al procedurilor interne de creditare, disponibile pentru examinare, tipurile de garanții reale corporale pe care le acceptă și politicile și practicile pe care le aplică cu privire la cuantumul corespunzător fiecărui tip de garanție reală în raport cu cuantumul expunerii;</w:t>
      </w:r>
    </w:p>
    <w:p w14:paraId="28905732" w14:textId="77777777"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6) politicile de creditare ale băncii cu privire la structura tranzacției stabilesc următoarele:</w:t>
      </w:r>
    </w:p>
    <w:p w14:paraId="446DE8BD" w14:textId="77777777"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a) cerințe corespunzătoare privind garanțiile reale în raport cu cuantumul expunerii;</w:t>
      </w:r>
    </w:p>
    <w:p w14:paraId="478670C1" w14:textId="77777777"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b) capacitatea de executare rapidă a garanției reale;</w:t>
      </w:r>
    </w:p>
    <w:p w14:paraId="0BA06AA4" w14:textId="77777777"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c) capacitatea de a stabili un preț sau o valoare de piață în mod obiectiv;</w:t>
      </w:r>
    </w:p>
    <w:p w14:paraId="2427D6D8" w14:textId="77777777"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d) frecvența cu care valoarea poate fi obținută imediat, inclusiv o apreciere sau o evaluare profesională;</w:t>
      </w:r>
    </w:p>
    <w:p w14:paraId="2769D7F7" w14:textId="0BACDDAF"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e) volatilitatea sau un indicator de aproximare a volatilității valorii garanției reale.</w:t>
      </w:r>
    </w:p>
    <w:p w14:paraId="228EDAC0" w14:textId="63DF71F3"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lastRenderedPageBreak/>
        <w:t>7) atunci când efectuează o evaluare sau o reevaluare, băncile țin seama pe deplin de orice deteriorare sau uzură morală a garanției reale, acordând o atenție deosebită efectelor trecerii timpului asupra garanțiilor reale sensibile la uzura morală; în cazul garanțiilor reale corporale, uzura morală a garanției reale include, de asemenea, considerații de evaluare legate de riscuri de mediu, sociale și de guvernanță referitoare la interdicții sau limitări impuse de obiectivele de reglementare și actele juridice relevante, precum și, dacă este relevant pentru băncile active la nivel internațional, de obiectivele juridice și de reglementare ale țărilor terțe;</w:t>
      </w:r>
    </w:p>
    <w:p w14:paraId="5D6ABE2E" w14:textId="2EF26801"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8) băncile au dreptul de a efectua o inspecție fizică a garanției reale. Acestea dispun, de asemenea, de politici și proceduri care stabilesc modul de exercitare a dreptului de inspecție fizică;</w:t>
      </w:r>
    </w:p>
    <w:p w14:paraId="630EE105" w14:textId="6B944A82"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9) garanția reală acceptată ca protecție este asigurată în mod adecvat împotriva riscului de daune, iar băncile dispun de proceduri de monitorizare a acestui fapt.</w:t>
      </w:r>
    </w:p>
    <w:p w14:paraId="4CDB75C0" w14:textId="24E2CC88" w:rsidR="00962019" w:rsidRPr="000B2CBE" w:rsidRDefault="00962019" w:rsidP="00962019">
      <w:pPr>
        <w:jc w:val="both"/>
        <w:rPr>
          <w:color w:val="000000" w:themeColor="text1"/>
          <w:lang w:val="ro-RO" w:eastAsia="ro-MD"/>
        </w:rPr>
      </w:pPr>
      <w:r w:rsidRPr="000B2CBE">
        <w:rPr>
          <w:b/>
          <w:bCs/>
          <w:color w:val="000000" w:themeColor="text1"/>
          <w:lang w:val="ro-RO" w:eastAsia="ro-MD"/>
        </w:rPr>
        <w:t>50</w:t>
      </w:r>
      <w:r w:rsidRPr="000B2CBE">
        <w:rPr>
          <w:b/>
          <w:bCs/>
          <w:color w:val="000000" w:themeColor="text1"/>
          <w:vertAlign w:val="superscript"/>
          <w:lang w:val="ro-RO" w:eastAsia="ro-MD"/>
        </w:rPr>
        <w:t>6</w:t>
      </w:r>
      <w:r w:rsidRPr="000B2CBE">
        <w:rPr>
          <w:b/>
          <w:bCs/>
          <w:color w:val="000000" w:themeColor="text1"/>
          <w:lang w:val="ro-RO" w:eastAsia="ro-MD"/>
        </w:rPr>
        <w:t>.</w:t>
      </w:r>
      <w:r w:rsidRPr="000B2CBE">
        <w:rPr>
          <w:color w:val="000000" w:themeColor="text1"/>
          <w:lang w:val="ro-RO" w:eastAsia="ro-MD"/>
        </w:rPr>
        <w:t xml:space="preserve"> În cazul în care contractele de garanție generală sau alte forme de garanții constituite asupra unei universalități de bunuri oferă băncii creditoare o creanță înregistrată asupra activelor unei societăți și în cazul în care creanța respectivă conține atât active care nu sunt eligibile drept garanții reale în cadrul abordării IRB, cât și active care sunt eligibile drept garanții reale în cadrul abordării IRB, banca le poate recunoaște pe acestea din urmă drept protecție finanțată a creditului eligibilă. În acest caz, recunoașterea este condiționată de îndeplinirea de către activele respective a cerințelor de eligibilitate a garanțiilor reale în cadrul abordării IRB, astfel cum se prevede în prezentul regulament.</w:t>
      </w:r>
    </w:p>
    <w:p w14:paraId="1A412709" w14:textId="77777777" w:rsidR="00962019" w:rsidRPr="000B2CBE" w:rsidRDefault="00962019" w:rsidP="00962019">
      <w:pPr>
        <w:jc w:val="both"/>
        <w:rPr>
          <w:color w:val="000000" w:themeColor="text1"/>
          <w:lang w:val="ro-RO" w:eastAsia="ro-MD"/>
        </w:rPr>
      </w:pPr>
      <w:r w:rsidRPr="000B2CBE">
        <w:rPr>
          <w:b/>
          <w:bCs/>
          <w:color w:val="000000" w:themeColor="text1"/>
          <w:lang w:val="ro-RO" w:eastAsia="ro-MD"/>
        </w:rPr>
        <w:t>50</w:t>
      </w:r>
      <w:r w:rsidRPr="000B2CBE">
        <w:rPr>
          <w:b/>
          <w:bCs/>
          <w:color w:val="000000" w:themeColor="text1"/>
          <w:vertAlign w:val="superscript"/>
          <w:lang w:val="ro-RO" w:eastAsia="ro-MD"/>
        </w:rPr>
        <w:t>7</w:t>
      </w:r>
      <w:r w:rsidRPr="000B2CBE">
        <w:rPr>
          <w:b/>
          <w:bCs/>
          <w:color w:val="000000" w:themeColor="text1"/>
          <w:lang w:val="ro-RO" w:eastAsia="ro-MD"/>
        </w:rPr>
        <w:t>.</w:t>
      </w:r>
      <w:r w:rsidRPr="000B2CBE">
        <w:rPr>
          <w:color w:val="000000" w:themeColor="text1"/>
          <w:lang w:val="ro-RO" w:eastAsia="ro-MD"/>
        </w:rPr>
        <w:t xml:space="preserve"> Băncile trebuie să trateze expunerile care decurg din operațiuni de leasing ca fiind garantate cu tipul de bun dat în leasing, dacă sunt îndeplinite cumulativ următoarele condiții:</w:t>
      </w:r>
    </w:p>
    <w:p w14:paraId="50834768" w14:textId="645BD520"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1) condițiile stabilite la punctul 5</w:t>
      </w:r>
      <w:r w:rsidR="00A669CB" w:rsidRPr="000B2CBE">
        <w:rPr>
          <w:color w:val="000000" w:themeColor="text1"/>
          <w:lang w:val="ro-RO" w:eastAsia="ro-MD"/>
        </w:rPr>
        <w:t>0</w:t>
      </w:r>
      <w:r w:rsidRPr="000B2CBE">
        <w:rPr>
          <w:color w:val="000000" w:themeColor="text1"/>
          <w:vertAlign w:val="superscript"/>
          <w:lang w:val="ro-RO" w:eastAsia="ro-MD"/>
        </w:rPr>
        <w:t>1</w:t>
      </w:r>
      <w:r w:rsidRPr="000B2CBE">
        <w:rPr>
          <w:color w:val="000000" w:themeColor="text1"/>
          <w:lang w:val="ro-RO" w:eastAsia="ro-MD"/>
        </w:rPr>
        <w:t xml:space="preserve"> sau punctele 5</w:t>
      </w:r>
      <w:r w:rsidR="00A669CB" w:rsidRPr="000B2CBE">
        <w:rPr>
          <w:color w:val="000000" w:themeColor="text1"/>
          <w:lang w:val="ro-RO" w:eastAsia="ro-MD"/>
        </w:rPr>
        <w:t>0</w:t>
      </w:r>
      <w:r w:rsidRPr="000B2CBE">
        <w:rPr>
          <w:color w:val="000000" w:themeColor="text1"/>
          <w:vertAlign w:val="superscript"/>
          <w:lang w:val="ro-RO" w:eastAsia="ro-MD"/>
        </w:rPr>
        <w:t>5</w:t>
      </w:r>
      <w:r w:rsidRPr="000B2CBE">
        <w:rPr>
          <w:color w:val="000000" w:themeColor="text1"/>
          <w:lang w:val="ro-RO" w:eastAsia="ro-MD"/>
        </w:rPr>
        <w:t>-5</w:t>
      </w:r>
      <w:r w:rsidR="00A669CB" w:rsidRPr="000B2CBE">
        <w:rPr>
          <w:color w:val="000000" w:themeColor="text1"/>
          <w:lang w:val="ro-RO" w:eastAsia="ro-MD"/>
        </w:rPr>
        <w:t>0</w:t>
      </w:r>
      <w:r w:rsidRPr="000B2CBE">
        <w:rPr>
          <w:color w:val="000000" w:themeColor="text1"/>
          <w:vertAlign w:val="superscript"/>
          <w:lang w:val="ro-RO" w:eastAsia="ro-MD"/>
        </w:rPr>
        <w:t>6</w:t>
      </w:r>
      <w:r w:rsidRPr="000B2CBE">
        <w:rPr>
          <w:color w:val="000000" w:themeColor="text1"/>
          <w:lang w:val="ro-RO" w:eastAsia="ro-MD"/>
        </w:rPr>
        <w:t>, după caz, pentru ca tipul de bun dat în leasing să se califice drept garanție reală eligibilă sunt îndeplinite;</w:t>
      </w:r>
    </w:p>
    <w:p w14:paraId="57573107" w14:textId="7D952329"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2) locatorul efectuează o gestionare riguroasă a riscurilor, care ține seama de modul de utilizare a activului dat în leasing, de locul în care este amplasat acesta, de vechimea sa, precum și de durata planificată de utilizare, inclusiv o monitorizare adecvată a valorii activului;</w:t>
      </w:r>
    </w:p>
    <w:p w14:paraId="4700C7FD" w14:textId="7FDFD1EF" w:rsidR="00962019" w:rsidRPr="000B2CBE" w:rsidRDefault="00962019" w:rsidP="00962019">
      <w:pPr>
        <w:ind w:firstLine="567"/>
        <w:jc w:val="both"/>
        <w:rPr>
          <w:color w:val="000000" w:themeColor="text1"/>
          <w:lang w:val="ro-RO" w:eastAsia="ro-MD"/>
        </w:rPr>
      </w:pPr>
      <w:r w:rsidRPr="000B2CBE">
        <w:rPr>
          <w:color w:val="000000" w:themeColor="text1"/>
          <w:lang w:val="ro-RO" w:eastAsia="ro-MD"/>
        </w:rPr>
        <w:t>3) locatorul are drept de proprietate asupra activului și poate să-și exercite drepturile de proprietar în timp util;</w:t>
      </w:r>
    </w:p>
    <w:p w14:paraId="16A902AD" w14:textId="4C0B8DFD" w:rsidR="007B1AF8" w:rsidRPr="000B2CBE" w:rsidRDefault="00962019" w:rsidP="00981ED0">
      <w:pPr>
        <w:ind w:firstLine="567"/>
        <w:jc w:val="both"/>
        <w:rPr>
          <w:color w:val="000000" w:themeColor="text1"/>
          <w:lang w:val="ro-MD"/>
        </w:rPr>
      </w:pPr>
      <w:r w:rsidRPr="000B2CBE">
        <w:rPr>
          <w:color w:val="000000" w:themeColor="text1"/>
          <w:lang w:val="ro-RO" w:eastAsia="ro-MD"/>
        </w:rPr>
        <w:t>4) dacă acest fapt nu a fost deja avut în vedere la calculul nivelului pierderii în caz de nerambursare, diferența dintre cuantumul neamortizat și valoarea de piață a activului nu este atât de mare încât să supraestimeze efectul de diminuare a riscului de credit atribuit activelor date în leasing.</w:t>
      </w:r>
      <w:r w:rsidR="00631072" w:rsidRPr="000B2CBE">
        <w:rPr>
          <w:color w:val="000000" w:themeColor="text1"/>
          <w:lang w:val="ro-MD"/>
        </w:rPr>
        <w:t>”.</w:t>
      </w:r>
    </w:p>
    <w:p w14:paraId="26654671" w14:textId="009EFF98" w:rsidR="00715C5E" w:rsidRPr="000B2CBE" w:rsidRDefault="00750B3B" w:rsidP="008F595B">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Se completează cu punctul 51</w:t>
      </w:r>
      <w:r w:rsidRPr="000B2CBE">
        <w:rPr>
          <w:color w:val="000000" w:themeColor="text1"/>
          <w:vertAlign w:val="superscript"/>
          <w:lang w:val="ro-MD"/>
        </w:rPr>
        <w:t>1</w:t>
      </w:r>
      <w:r w:rsidRPr="000B2CBE">
        <w:rPr>
          <w:color w:val="000000" w:themeColor="text1"/>
          <w:lang w:val="ro-MD"/>
        </w:rPr>
        <w:t xml:space="preserve"> cu</w:t>
      </w:r>
      <w:r w:rsidR="002D061D" w:rsidRPr="000B2CBE">
        <w:rPr>
          <w:color w:val="000000" w:themeColor="text1"/>
          <w:lang w:val="ro-MD"/>
        </w:rPr>
        <w:t xml:space="preserve"> următorul cuprins:</w:t>
      </w:r>
    </w:p>
    <w:p w14:paraId="1A5A01C9" w14:textId="77777777" w:rsidR="00F3090A" w:rsidRPr="000B2CBE" w:rsidRDefault="002D061D" w:rsidP="00F3090A">
      <w:pPr>
        <w:jc w:val="both"/>
        <w:rPr>
          <w:color w:val="000000" w:themeColor="text1"/>
          <w:lang w:val="ro-RO" w:eastAsia="ro-MD"/>
        </w:rPr>
      </w:pPr>
      <w:r w:rsidRPr="000B2CBE">
        <w:rPr>
          <w:color w:val="000000" w:themeColor="text1"/>
          <w:lang w:val="ro-MD"/>
        </w:rPr>
        <w:t>„</w:t>
      </w:r>
      <w:r w:rsidR="00F3090A" w:rsidRPr="000B2CBE">
        <w:rPr>
          <w:b/>
          <w:bCs/>
          <w:color w:val="000000" w:themeColor="text1"/>
          <w:lang w:val="ro-RO" w:eastAsia="ro-MD"/>
        </w:rPr>
        <w:t>51</w:t>
      </w:r>
      <w:r w:rsidR="00F3090A" w:rsidRPr="000B2CBE">
        <w:rPr>
          <w:b/>
          <w:bCs/>
          <w:color w:val="000000" w:themeColor="text1"/>
          <w:vertAlign w:val="superscript"/>
          <w:lang w:val="ro-RO" w:eastAsia="ro-MD"/>
        </w:rPr>
        <w:t>1</w:t>
      </w:r>
      <w:r w:rsidR="00F3090A" w:rsidRPr="000B2CBE">
        <w:rPr>
          <w:b/>
          <w:bCs/>
          <w:color w:val="000000" w:themeColor="text1"/>
          <w:lang w:val="ro-RO" w:eastAsia="ro-MD"/>
        </w:rPr>
        <w:t>.</w:t>
      </w:r>
      <w:r w:rsidR="00F3090A" w:rsidRPr="000B2CBE">
        <w:rPr>
          <w:color w:val="000000" w:themeColor="text1"/>
          <w:lang w:val="ro-RO" w:eastAsia="ro-MD"/>
        </w:rPr>
        <w:t xml:space="preserve"> Polițele de asigurare de viață gajate în favoarea băncii creditoare se califică drept garanții reale eligibile, dacă sunt îndeplinite cumulativ următoarele condiții:</w:t>
      </w:r>
    </w:p>
    <w:p w14:paraId="0A03332C" w14:textId="008B2350" w:rsidR="00F3090A" w:rsidRPr="000B2CBE" w:rsidRDefault="00F3090A" w:rsidP="00F3090A">
      <w:pPr>
        <w:ind w:firstLine="567"/>
        <w:jc w:val="both"/>
        <w:rPr>
          <w:color w:val="000000" w:themeColor="text1"/>
          <w:lang w:val="ro-RO" w:eastAsia="ro-MD"/>
        </w:rPr>
      </w:pPr>
      <w:r w:rsidRPr="000B2CBE">
        <w:rPr>
          <w:color w:val="000000" w:themeColor="text1"/>
          <w:lang w:val="ro-RO" w:eastAsia="ro-MD"/>
        </w:rPr>
        <w:t xml:space="preserve">1) polița de asigurare de viață este, în mod transparent, gajată în favoarea </w:t>
      </w:r>
      <w:r w:rsidR="006319A3">
        <w:rPr>
          <w:color w:val="000000" w:themeColor="text1"/>
          <w:lang w:val="ro-RO" w:eastAsia="ro-MD"/>
        </w:rPr>
        <w:t>băncii</w:t>
      </w:r>
      <w:r w:rsidRPr="000B2CBE">
        <w:rPr>
          <w:color w:val="000000" w:themeColor="text1"/>
          <w:lang w:val="ro-RO" w:eastAsia="ro-MD"/>
        </w:rPr>
        <w:t xml:space="preserve"> creditoare sau cesionată acesteia;</w:t>
      </w:r>
    </w:p>
    <w:p w14:paraId="37CEC679" w14:textId="1FF9AF2E" w:rsidR="00F3090A" w:rsidRPr="000B2CBE" w:rsidRDefault="00F3090A" w:rsidP="00F3090A">
      <w:pPr>
        <w:ind w:firstLine="567"/>
        <w:jc w:val="both"/>
        <w:rPr>
          <w:color w:val="000000" w:themeColor="text1"/>
          <w:lang w:val="ro-RO" w:eastAsia="ro-MD"/>
        </w:rPr>
      </w:pPr>
      <w:r w:rsidRPr="000B2CBE">
        <w:rPr>
          <w:color w:val="000000" w:themeColor="text1"/>
          <w:lang w:val="ro-RO" w:eastAsia="ro-MD"/>
        </w:rPr>
        <w:t>2) societatea care furnizează asigurarea de viață este notificată în legătură cu gajul sau cesiunea și, în urma notificării, nu poate plăti sumele exigibile în baza contractului fără acordul prealabil al băncii creditoare;</w:t>
      </w:r>
    </w:p>
    <w:p w14:paraId="12A0DF3C" w14:textId="1CAECE0B" w:rsidR="00F3090A" w:rsidRPr="000B2CBE" w:rsidRDefault="00F3090A" w:rsidP="00F3090A">
      <w:pPr>
        <w:ind w:firstLine="567"/>
        <w:jc w:val="both"/>
        <w:rPr>
          <w:color w:val="000000" w:themeColor="text1"/>
          <w:lang w:val="ro-RO" w:eastAsia="ro-MD"/>
        </w:rPr>
      </w:pPr>
      <w:r w:rsidRPr="000B2CBE">
        <w:rPr>
          <w:color w:val="000000" w:themeColor="text1"/>
          <w:lang w:val="ro-RO" w:eastAsia="ro-MD"/>
        </w:rPr>
        <w:t>3) banca creditoare are dreptul de a anula polița și de a primi valoarea de răscumpărare în cazul în care debitorul se află în stare de nerambursare;</w:t>
      </w:r>
    </w:p>
    <w:p w14:paraId="40A0BB04" w14:textId="2218F165" w:rsidR="00F3090A" w:rsidRPr="000B2CBE" w:rsidRDefault="00F3090A" w:rsidP="00F3090A">
      <w:pPr>
        <w:ind w:firstLine="567"/>
        <w:jc w:val="both"/>
        <w:rPr>
          <w:color w:val="000000" w:themeColor="text1"/>
          <w:lang w:val="ro-RO" w:eastAsia="ro-MD"/>
        </w:rPr>
      </w:pPr>
      <w:r w:rsidRPr="000B2CBE">
        <w:rPr>
          <w:color w:val="000000" w:themeColor="text1"/>
          <w:lang w:val="ro-RO" w:eastAsia="ro-MD"/>
        </w:rPr>
        <w:t>4) banca creditoare este informată în legătură cu orice plăți neefectuate de deținătorul poliței și care sunt corespunzătoare acesteia;</w:t>
      </w:r>
    </w:p>
    <w:p w14:paraId="71336776" w14:textId="5207E7E9" w:rsidR="00F3090A" w:rsidRPr="000B2CBE" w:rsidRDefault="00F3090A" w:rsidP="00F3090A">
      <w:pPr>
        <w:ind w:firstLine="567"/>
        <w:jc w:val="both"/>
        <w:rPr>
          <w:color w:val="000000" w:themeColor="text1"/>
          <w:lang w:val="ro-RO" w:eastAsia="ro-MD"/>
        </w:rPr>
      </w:pPr>
      <w:r w:rsidRPr="000B2CBE">
        <w:rPr>
          <w:color w:val="000000" w:themeColor="text1"/>
          <w:lang w:val="ro-RO" w:eastAsia="ro-MD"/>
        </w:rPr>
        <w:t>5) protecția creditului este furnizată până la scadența creditului. Dacă acest lucru nu este posibil deoarece asigurarea încetează înainte de expirarea duratei creditului, banca se asigură că suma care decurge din contractul de asigurare îi servește drept garanție până la sfârșitul duratei contractului de credit;</w:t>
      </w:r>
    </w:p>
    <w:p w14:paraId="5C14FFFE" w14:textId="41F47066" w:rsidR="00F3090A" w:rsidRPr="000B2CBE" w:rsidRDefault="00F3090A" w:rsidP="00F3090A">
      <w:pPr>
        <w:ind w:firstLine="567"/>
        <w:jc w:val="both"/>
        <w:rPr>
          <w:color w:val="000000" w:themeColor="text1"/>
          <w:lang w:val="ro-RO" w:eastAsia="ro-MD"/>
        </w:rPr>
      </w:pPr>
      <w:r w:rsidRPr="000B2CBE">
        <w:rPr>
          <w:color w:val="000000" w:themeColor="text1"/>
          <w:lang w:val="ro-RO" w:eastAsia="ro-MD"/>
        </w:rPr>
        <w:lastRenderedPageBreak/>
        <w:t>6) gajul sau cesiunea sunt valide din punct de vedere legal și au caracter executoriu din punct de vedere juridic în toate jurisdicțiile relevante la momentul încheierii contractului de credit;</w:t>
      </w:r>
    </w:p>
    <w:p w14:paraId="2CADA34B" w14:textId="22A7B778" w:rsidR="00F3090A" w:rsidRPr="000B2CBE" w:rsidRDefault="00F3090A" w:rsidP="00F3090A">
      <w:pPr>
        <w:ind w:firstLine="567"/>
        <w:jc w:val="both"/>
        <w:rPr>
          <w:color w:val="000000" w:themeColor="text1"/>
          <w:lang w:val="ro-RO" w:eastAsia="ro-MD"/>
        </w:rPr>
      </w:pPr>
      <w:r w:rsidRPr="000B2CBE">
        <w:rPr>
          <w:color w:val="000000" w:themeColor="text1"/>
          <w:lang w:val="ro-RO" w:eastAsia="ro-MD"/>
        </w:rPr>
        <w:t>7) valoarea de răscumpărare este declarată de societatea care furnizează asigurarea de viață și nu este reductibilă;</w:t>
      </w:r>
    </w:p>
    <w:p w14:paraId="1C5E3CEE" w14:textId="5B2E0B96" w:rsidR="00F3090A" w:rsidRPr="000B2CBE" w:rsidRDefault="00F3090A" w:rsidP="00F3090A">
      <w:pPr>
        <w:ind w:firstLine="567"/>
        <w:jc w:val="both"/>
        <w:rPr>
          <w:color w:val="000000" w:themeColor="text1"/>
          <w:lang w:val="ro-RO" w:eastAsia="ro-MD"/>
        </w:rPr>
      </w:pPr>
      <w:r w:rsidRPr="000B2CBE">
        <w:rPr>
          <w:color w:val="000000" w:themeColor="text1"/>
          <w:lang w:val="ro-RO" w:eastAsia="ro-MD"/>
        </w:rPr>
        <w:t>8) valoarea de răscumpărare trebuie plătită în timp util, la cerere, de către societatea care furnizează asigurarea de viață;</w:t>
      </w:r>
    </w:p>
    <w:p w14:paraId="66543147" w14:textId="0848113F" w:rsidR="00F3090A" w:rsidRPr="000B2CBE" w:rsidRDefault="00F3090A" w:rsidP="00F3090A">
      <w:pPr>
        <w:ind w:firstLine="567"/>
        <w:jc w:val="both"/>
        <w:rPr>
          <w:color w:val="000000" w:themeColor="text1"/>
          <w:lang w:val="ro-RO" w:eastAsia="ro-MD"/>
        </w:rPr>
      </w:pPr>
      <w:r w:rsidRPr="000B2CBE">
        <w:rPr>
          <w:color w:val="000000" w:themeColor="text1"/>
          <w:lang w:val="ro-RO" w:eastAsia="ro-MD"/>
        </w:rPr>
        <w:t>9) valoarea de răscumpărare nu poate fi solicitată fără acordul prealabil al băncii;</w:t>
      </w:r>
    </w:p>
    <w:p w14:paraId="027F8F8F" w14:textId="2D4D9B6F" w:rsidR="002D061D" w:rsidRPr="000B2CBE" w:rsidRDefault="00F3090A" w:rsidP="00F3090A">
      <w:pPr>
        <w:ind w:firstLine="567"/>
        <w:jc w:val="both"/>
        <w:rPr>
          <w:color w:val="000000" w:themeColor="text1"/>
          <w:lang w:val="ro-MD"/>
        </w:rPr>
      </w:pPr>
      <w:r w:rsidRPr="000B2CBE">
        <w:rPr>
          <w:color w:val="000000" w:themeColor="text1"/>
          <w:lang w:val="ro-RO" w:eastAsia="ro-MD"/>
        </w:rPr>
        <w:t>10) societatea care furnizează asigurarea de viață intră sub incidența Legii nr.92/2022 privind activitatea de asigurare sau de reasigurare sau este supusă supravegherii efectuate de o autoritate competentă a unei țări terțe care aplică norme de supraveghere și reglementare cel puțin echivalente cu cele aplicate în Republica Moldova.</w:t>
      </w:r>
      <w:r w:rsidR="00AB095D" w:rsidRPr="000B2CBE">
        <w:rPr>
          <w:color w:val="000000" w:themeColor="text1"/>
          <w:lang w:val="ro-RO" w:eastAsia="ro-MD"/>
        </w:rPr>
        <w:t>”.</w:t>
      </w:r>
    </w:p>
    <w:p w14:paraId="7070EA10" w14:textId="2757C527" w:rsidR="002C0BFB" w:rsidRPr="000B2CBE" w:rsidRDefault="002C0BFB" w:rsidP="005C236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punctul 53 subpunctul 3):</w:t>
      </w:r>
    </w:p>
    <w:p w14:paraId="5D127549" w14:textId="532C66A3" w:rsidR="002C0BFB" w:rsidRPr="000B2CBE" w:rsidRDefault="00FA5770" w:rsidP="005F73A6">
      <w:pPr>
        <w:pStyle w:val="ListParagraph"/>
        <w:numPr>
          <w:ilvl w:val="2"/>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în </w:t>
      </w:r>
      <w:r w:rsidR="00BC0117">
        <w:rPr>
          <w:color w:val="000000" w:themeColor="text1"/>
          <w:lang w:val="ro-MD"/>
        </w:rPr>
        <w:t>partea introductivă</w:t>
      </w:r>
      <w:r w:rsidR="006952B7">
        <w:rPr>
          <w:color w:val="000000" w:themeColor="text1"/>
          <w:lang w:val="ro-MD"/>
        </w:rPr>
        <w:t>,</w:t>
      </w:r>
      <w:r w:rsidR="00BC0117" w:rsidRPr="000B2CBE">
        <w:rPr>
          <w:color w:val="000000" w:themeColor="text1"/>
          <w:lang w:val="ro-MD"/>
        </w:rPr>
        <w:t xml:space="preserve"> </w:t>
      </w:r>
      <w:r w:rsidRPr="000B2CBE">
        <w:rPr>
          <w:color w:val="000000" w:themeColor="text1"/>
          <w:lang w:val="ro-MD"/>
        </w:rPr>
        <w:t>cuvântul „băncii” se completează cu cuvântul „creditoare”;</w:t>
      </w:r>
    </w:p>
    <w:p w14:paraId="71FA047B" w14:textId="1640ABAE" w:rsidR="00FA5770" w:rsidRPr="000B2CBE" w:rsidRDefault="009168DD" w:rsidP="005F73A6">
      <w:pPr>
        <w:pStyle w:val="ListParagraph"/>
        <w:numPr>
          <w:ilvl w:val="2"/>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litera a)</w:t>
      </w:r>
      <w:r w:rsidR="006952B7">
        <w:rPr>
          <w:color w:val="000000" w:themeColor="text1"/>
          <w:lang w:val="ro-MD"/>
        </w:rPr>
        <w:t>,</w:t>
      </w:r>
      <w:r w:rsidRPr="000B2CBE">
        <w:rPr>
          <w:color w:val="000000" w:themeColor="text1"/>
          <w:lang w:val="ro-MD"/>
        </w:rPr>
        <w:t xml:space="preserve"> </w:t>
      </w:r>
      <w:r w:rsidR="00BC0117">
        <w:rPr>
          <w:color w:val="000000" w:themeColor="text1"/>
          <w:lang w:val="ro-MD"/>
        </w:rPr>
        <w:t xml:space="preserve">după </w:t>
      </w:r>
      <w:r w:rsidRPr="000B2CBE">
        <w:rPr>
          <w:color w:val="000000" w:themeColor="text1"/>
          <w:lang w:val="ro-MD"/>
        </w:rPr>
        <w:t>cuvintele „să denunțe” se completează cu cuvintele „sau să modifice”;</w:t>
      </w:r>
    </w:p>
    <w:p w14:paraId="01A22650" w14:textId="04926F07" w:rsidR="009168DD" w:rsidRPr="000B2CBE" w:rsidRDefault="009168DD" w:rsidP="005F73A6">
      <w:pPr>
        <w:pStyle w:val="ListParagraph"/>
        <w:numPr>
          <w:ilvl w:val="2"/>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litera b)</w:t>
      </w:r>
      <w:r w:rsidR="006952B7">
        <w:rPr>
          <w:color w:val="000000" w:themeColor="text1"/>
          <w:lang w:val="ro-MD"/>
        </w:rPr>
        <w:t>,</w:t>
      </w:r>
      <w:r w:rsidRPr="000B2CBE">
        <w:rPr>
          <w:color w:val="000000" w:themeColor="text1"/>
          <w:lang w:val="ro-MD"/>
        </w:rPr>
        <w:t xml:space="preserve"> </w:t>
      </w:r>
      <w:r w:rsidR="00BC0117">
        <w:rPr>
          <w:color w:val="000000" w:themeColor="text1"/>
          <w:lang w:val="ro-MD"/>
        </w:rPr>
        <w:t xml:space="preserve">după </w:t>
      </w:r>
      <w:r w:rsidRPr="000B2CBE">
        <w:rPr>
          <w:color w:val="000000" w:themeColor="text1"/>
          <w:lang w:val="ro-MD"/>
        </w:rPr>
        <w:t>cuvântul „protecției</w:t>
      </w:r>
      <w:r w:rsidR="006952B7">
        <w:rPr>
          <w:color w:val="000000" w:themeColor="text1"/>
          <w:lang w:val="ro-RO"/>
        </w:rPr>
        <w:t>”</w:t>
      </w:r>
      <w:r w:rsidRPr="000B2CBE">
        <w:rPr>
          <w:color w:val="000000" w:themeColor="text1"/>
          <w:lang w:val="ro-MD"/>
        </w:rPr>
        <w:t xml:space="preserve"> se completează cu cuvântul „creditului”;</w:t>
      </w:r>
    </w:p>
    <w:p w14:paraId="45DC18F9" w14:textId="00BA1E90" w:rsidR="009168DD" w:rsidRPr="000B2CBE" w:rsidRDefault="009168DD" w:rsidP="005F73A6">
      <w:pPr>
        <w:pStyle w:val="ListParagraph"/>
        <w:numPr>
          <w:ilvl w:val="2"/>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litera c)</w:t>
      </w:r>
      <w:r w:rsidR="006952B7">
        <w:rPr>
          <w:color w:val="000000" w:themeColor="text1"/>
          <w:lang w:val="ro-MD"/>
        </w:rPr>
        <w:t>,</w:t>
      </w:r>
      <w:r w:rsidRPr="000B2CBE">
        <w:rPr>
          <w:color w:val="000000" w:themeColor="text1"/>
          <w:lang w:val="ro-MD"/>
        </w:rPr>
        <w:t xml:space="preserve"> după textul „</w:t>
      </w:r>
      <w:r w:rsidRPr="000B2CBE">
        <w:rPr>
          <w:color w:val="000000" w:themeColor="text1"/>
          <w:lang w:val="ro-RO" w:eastAsia="ro-MD"/>
        </w:rPr>
        <w:t xml:space="preserve">Regulamentului nr.111/2018” se completează cu cuvintele „și </w:t>
      </w:r>
      <w:r w:rsidRPr="0023120D">
        <w:rPr>
          <w:color w:val="000000" w:themeColor="text1"/>
          <w:lang w:val="ro-RO" w:eastAsia="ro-MD"/>
        </w:rPr>
        <w:t>actului normativ al Băncii Naționale a Moldovei aferent</w:t>
      </w:r>
      <w:r w:rsidRPr="000B2CBE">
        <w:rPr>
          <w:color w:val="000000" w:themeColor="text1"/>
          <w:lang w:val="ro-RO" w:eastAsia="ro-MD"/>
        </w:rPr>
        <w:t xml:space="preserve"> tratamentului riscului de credit pentru bănci potrivit abordării bazate pe modele interne de rating”.</w:t>
      </w:r>
    </w:p>
    <w:p w14:paraId="34DF0386" w14:textId="03FA6AAF" w:rsidR="00912F3F" w:rsidRPr="000B2CBE" w:rsidRDefault="00912F3F" w:rsidP="005C236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La punctul </w:t>
      </w:r>
      <w:r w:rsidR="00124F8F" w:rsidRPr="000B2CBE">
        <w:rPr>
          <w:color w:val="000000" w:themeColor="text1"/>
          <w:lang w:val="ro-MD"/>
        </w:rPr>
        <w:t>6</w:t>
      </w:r>
      <w:r w:rsidRPr="000B2CBE">
        <w:rPr>
          <w:color w:val="000000" w:themeColor="text1"/>
          <w:lang w:val="ro-MD"/>
        </w:rPr>
        <w:t>0</w:t>
      </w:r>
      <w:r w:rsidR="00124F8F" w:rsidRPr="000B2CBE">
        <w:rPr>
          <w:color w:val="000000" w:themeColor="text1"/>
          <w:lang w:val="ro-MD"/>
        </w:rPr>
        <w:t xml:space="preserve"> subpunctul 1)</w:t>
      </w:r>
      <w:r w:rsidR="00B257E4" w:rsidRPr="000B2CBE">
        <w:rPr>
          <w:color w:val="000000" w:themeColor="text1"/>
          <w:lang w:val="ro-MD"/>
        </w:rPr>
        <w:t>,</w:t>
      </w:r>
      <w:r w:rsidRPr="000B2CBE">
        <w:rPr>
          <w:color w:val="000000" w:themeColor="text1"/>
          <w:lang w:val="ro-MD"/>
        </w:rPr>
        <w:t xml:space="preserve"> </w:t>
      </w:r>
      <w:r w:rsidR="00124F8F" w:rsidRPr="000B2CBE">
        <w:rPr>
          <w:color w:val="000000" w:themeColor="text1"/>
          <w:lang w:val="ro-MD"/>
        </w:rPr>
        <w:t xml:space="preserve">cuvântul </w:t>
      </w:r>
      <w:r w:rsidRPr="000B2CBE">
        <w:rPr>
          <w:color w:val="000000" w:themeColor="text1"/>
          <w:lang w:val="ro-MD"/>
        </w:rPr>
        <w:t>„</w:t>
      </w:r>
      <w:proofErr w:type="spellStart"/>
      <w:r w:rsidR="00124F8F" w:rsidRPr="000B2CBE">
        <w:rPr>
          <w:color w:val="000000" w:themeColor="text1"/>
          <w:lang w:val="ro-MD"/>
        </w:rPr>
        <w:t>contraparte</w:t>
      </w:r>
      <w:proofErr w:type="spellEnd"/>
      <w:r w:rsidRPr="000B2CBE">
        <w:rPr>
          <w:color w:val="000000" w:themeColor="text1"/>
          <w:lang w:val="ro-MD"/>
        </w:rPr>
        <w:t xml:space="preserve">” se substituie cu </w:t>
      </w:r>
      <w:r w:rsidR="00124F8F" w:rsidRPr="000B2CBE">
        <w:rPr>
          <w:color w:val="000000" w:themeColor="text1"/>
          <w:lang w:val="ro-MD"/>
        </w:rPr>
        <w:t>cuvântul</w:t>
      </w:r>
      <w:r w:rsidRPr="000B2CBE">
        <w:rPr>
          <w:color w:val="000000" w:themeColor="text1"/>
          <w:lang w:val="ro-MD"/>
        </w:rPr>
        <w:t xml:space="preserve"> „</w:t>
      </w:r>
      <w:r w:rsidR="00124F8F" w:rsidRPr="000B2CBE">
        <w:rPr>
          <w:color w:val="000000" w:themeColor="text1"/>
          <w:lang w:val="ro-MD"/>
        </w:rPr>
        <w:t>debitor</w:t>
      </w:r>
      <w:r w:rsidRPr="000B2CBE">
        <w:rPr>
          <w:color w:val="000000" w:themeColor="text1"/>
          <w:lang w:val="ro-MD"/>
        </w:rPr>
        <w:t>”.</w:t>
      </w:r>
    </w:p>
    <w:p w14:paraId="68E08BA8" w14:textId="77777777" w:rsidR="00124F8F" w:rsidRPr="000B2CBE" w:rsidRDefault="00124F8F" w:rsidP="00D92B2C">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punctul 61:</w:t>
      </w:r>
    </w:p>
    <w:p w14:paraId="34EE6006" w14:textId="7D9FBF5B" w:rsidR="00CA6306" w:rsidRPr="000B2CBE" w:rsidRDefault="00100621" w:rsidP="00EE3412">
      <w:pPr>
        <w:pStyle w:val="ListParagraph"/>
        <w:numPr>
          <w:ilvl w:val="2"/>
          <w:numId w:val="27"/>
        </w:numPr>
        <w:tabs>
          <w:tab w:val="left" w:pos="0"/>
        </w:tabs>
        <w:spacing w:before="80"/>
        <w:ind w:left="0" w:firstLine="567"/>
        <w:contextualSpacing w:val="0"/>
        <w:jc w:val="both"/>
        <w:rPr>
          <w:color w:val="000000" w:themeColor="text1"/>
          <w:lang w:val="ro-MD"/>
        </w:rPr>
      </w:pPr>
      <w:r w:rsidRPr="000B2CBE">
        <w:rPr>
          <w:color w:val="000000" w:themeColor="text1"/>
          <w:lang w:val="ro-MD"/>
        </w:rPr>
        <w:t>î</w:t>
      </w:r>
      <w:r w:rsidR="00124F8F" w:rsidRPr="000B2CBE">
        <w:rPr>
          <w:color w:val="000000" w:themeColor="text1"/>
          <w:lang w:val="ro-MD"/>
        </w:rPr>
        <w:t xml:space="preserve">n </w:t>
      </w:r>
      <w:r w:rsidR="00BC0117">
        <w:rPr>
          <w:color w:val="000000" w:themeColor="text1"/>
          <w:lang w:val="ro-MD"/>
        </w:rPr>
        <w:t>partea introductivă</w:t>
      </w:r>
      <w:r w:rsidR="006952B7">
        <w:rPr>
          <w:color w:val="000000" w:themeColor="text1"/>
          <w:lang w:val="ro-MD"/>
        </w:rPr>
        <w:t>,</w:t>
      </w:r>
      <w:r w:rsidR="00BC0117" w:rsidRPr="000B2CBE">
        <w:rPr>
          <w:color w:val="000000" w:themeColor="text1"/>
          <w:lang w:val="ro-MD"/>
        </w:rPr>
        <w:t xml:space="preserve"> </w:t>
      </w:r>
      <w:r w:rsidR="00124F8F" w:rsidRPr="000B2CBE">
        <w:rPr>
          <w:color w:val="000000" w:themeColor="text1"/>
          <w:lang w:val="ro-MD"/>
        </w:rPr>
        <w:t>după textul „</w:t>
      </w:r>
      <w:r w:rsidR="00124F8F" w:rsidRPr="000B2CBE">
        <w:rPr>
          <w:color w:val="000000" w:themeColor="text1"/>
          <w:lang w:val="ro-RO" w:eastAsia="ro-MD"/>
        </w:rPr>
        <w:t xml:space="preserve">la punctul 60 subpunctul 1)” se completează cu textul „și la punctul 53 subpunctul 3) </w:t>
      </w:r>
      <w:proofErr w:type="spellStart"/>
      <w:r w:rsidR="00124F8F" w:rsidRPr="000B2CBE">
        <w:rPr>
          <w:color w:val="000000" w:themeColor="text1"/>
          <w:lang w:val="ro-RO" w:eastAsia="ro-MD"/>
        </w:rPr>
        <w:t>lit.c</w:t>
      </w:r>
      <w:proofErr w:type="spellEnd"/>
      <w:r w:rsidR="00124F8F" w:rsidRPr="000B2CBE">
        <w:rPr>
          <w:color w:val="000000" w:themeColor="text1"/>
          <w:lang w:val="ro-RO" w:eastAsia="ro-MD"/>
        </w:rPr>
        <w:t>)”;</w:t>
      </w:r>
    </w:p>
    <w:p w14:paraId="6DCE0E6D" w14:textId="0F7EE0A2" w:rsidR="00124F8F" w:rsidRPr="000B2CBE" w:rsidRDefault="00100621" w:rsidP="00EE3412">
      <w:pPr>
        <w:pStyle w:val="ListParagraph"/>
        <w:numPr>
          <w:ilvl w:val="2"/>
          <w:numId w:val="27"/>
        </w:numPr>
        <w:tabs>
          <w:tab w:val="left" w:pos="0"/>
        </w:tabs>
        <w:spacing w:before="80"/>
        <w:ind w:left="0" w:firstLine="567"/>
        <w:contextualSpacing w:val="0"/>
        <w:jc w:val="both"/>
        <w:rPr>
          <w:color w:val="000000" w:themeColor="text1"/>
          <w:lang w:val="ro-MD"/>
        </w:rPr>
      </w:pPr>
      <w:r w:rsidRPr="000B2CBE">
        <w:rPr>
          <w:color w:val="000000" w:themeColor="text1"/>
          <w:lang w:val="ro-MD"/>
        </w:rPr>
        <w:t>subpunctul 1) se completează</w:t>
      </w:r>
      <w:r w:rsidR="006952B7">
        <w:rPr>
          <w:color w:val="000000" w:themeColor="text1"/>
          <w:lang w:val="ro-MD"/>
        </w:rPr>
        <w:t>,</w:t>
      </w:r>
      <w:r w:rsidRPr="000B2CBE">
        <w:rPr>
          <w:color w:val="000000" w:themeColor="text1"/>
          <w:lang w:val="ro-MD"/>
        </w:rPr>
        <w:t xml:space="preserve"> la început</w:t>
      </w:r>
      <w:r w:rsidR="006952B7">
        <w:rPr>
          <w:color w:val="000000" w:themeColor="text1"/>
          <w:lang w:val="ro-MD"/>
        </w:rPr>
        <w:t>,</w:t>
      </w:r>
      <w:r w:rsidRPr="000B2CBE">
        <w:rPr>
          <w:color w:val="000000" w:themeColor="text1"/>
          <w:lang w:val="ro-MD"/>
        </w:rPr>
        <w:t xml:space="preserve"> cu textul „</w:t>
      </w:r>
      <w:r w:rsidRPr="000B2CBE">
        <w:rPr>
          <w:color w:val="000000" w:themeColor="text1"/>
          <w:lang w:val="ro-RO" w:eastAsia="ro-MD"/>
        </w:rPr>
        <w:t>în caz de intrare în stare de nerambursare sau în caz de neplată de către debitorul inițial, ”;</w:t>
      </w:r>
    </w:p>
    <w:p w14:paraId="15763AE9" w14:textId="3BC2230C" w:rsidR="00100621" w:rsidRPr="000B2CBE" w:rsidRDefault="00100621" w:rsidP="00EE3412">
      <w:pPr>
        <w:pStyle w:val="ListParagraph"/>
        <w:numPr>
          <w:ilvl w:val="2"/>
          <w:numId w:val="27"/>
        </w:numPr>
        <w:tabs>
          <w:tab w:val="left" w:pos="0"/>
        </w:tabs>
        <w:spacing w:before="80"/>
        <w:ind w:left="0" w:firstLine="567"/>
        <w:contextualSpacing w:val="0"/>
        <w:jc w:val="both"/>
        <w:rPr>
          <w:color w:val="000000" w:themeColor="text1"/>
          <w:lang w:val="ro-MD"/>
        </w:rPr>
      </w:pPr>
      <w:r w:rsidRPr="000B2CBE">
        <w:rPr>
          <w:color w:val="000000" w:themeColor="text1"/>
          <w:lang w:val="ro-RO" w:eastAsia="ro-MD"/>
        </w:rPr>
        <w:t>subpunctul 2) se completează cu textul „;</w:t>
      </w:r>
      <w:r w:rsidRPr="009C332D">
        <w:rPr>
          <w:color w:val="000000" w:themeColor="text1"/>
          <w:lang w:val="ro-MD"/>
        </w:rPr>
        <w:t xml:space="preserve"> </w:t>
      </w:r>
      <w:r w:rsidRPr="000B2CBE">
        <w:rPr>
          <w:color w:val="000000" w:themeColor="text1"/>
          <w:lang w:val="ro-RO" w:eastAsia="ro-MD"/>
        </w:rPr>
        <w:t>această justificare este documentată în mod corespunzător și face obiectul unor proceduri interne specifice de aprobare și audit.”.</w:t>
      </w:r>
    </w:p>
    <w:p w14:paraId="75F18D96" w14:textId="5A5338A8" w:rsidR="00881A1C" w:rsidRPr="000B2CBE" w:rsidRDefault="00100621" w:rsidP="00881A1C">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Se completează cu p</w:t>
      </w:r>
      <w:r w:rsidR="00881A1C" w:rsidRPr="000B2CBE">
        <w:rPr>
          <w:color w:val="000000" w:themeColor="text1"/>
          <w:lang w:val="ro-MD"/>
        </w:rPr>
        <w:t xml:space="preserve">unctul </w:t>
      </w:r>
      <w:r w:rsidRPr="000B2CBE">
        <w:rPr>
          <w:color w:val="000000" w:themeColor="text1"/>
          <w:lang w:val="ro-MD"/>
        </w:rPr>
        <w:t>64</w:t>
      </w:r>
      <w:r w:rsidRPr="000B2CBE">
        <w:rPr>
          <w:color w:val="000000" w:themeColor="text1"/>
          <w:vertAlign w:val="superscript"/>
          <w:lang w:val="ro-MD"/>
        </w:rPr>
        <w:t>1</w:t>
      </w:r>
      <w:r w:rsidRPr="000B2CBE">
        <w:rPr>
          <w:color w:val="000000" w:themeColor="text1"/>
          <w:lang w:val="ro-MD"/>
        </w:rPr>
        <w:t xml:space="preserve"> cu</w:t>
      </w:r>
      <w:r w:rsidR="00881A1C" w:rsidRPr="000B2CBE">
        <w:rPr>
          <w:color w:val="000000" w:themeColor="text1"/>
          <w:lang w:val="ro-MD"/>
        </w:rPr>
        <w:t xml:space="preserve"> următorul cuprins: </w:t>
      </w:r>
    </w:p>
    <w:p w14:paraId="372AE5A5" w14:textId="77777777" w:rsidR="00EC0A5E" w:rsidRPr="000B2CBE" w:rsidRDefault="00881A1C" w:rsidP="00EC0A5E">
      <w:pPr>
        <w:jc w:val="both"/>
        <w:rPr>
          <w:color w:val="000000" w:themeColor="text1"/>
          <w:lang w:val="ro-RO" w:eastAsia="ro-MD"/>
        </w:rPr>
      </w:pPr>
      <w:r w:rsidRPr="000B2CBE">
        <w:rPr>
          <w:color w:val="000000" w:themeColor="text1"/>
          <w:lang w:val="ro-MD"/>
        </w:rPr>
        <w:t>„</w:t>
      </w:r>
      <w:r w:rsidR="00EC0A5E" w:rsidRPr="000B2CBE">
        <w:rPr>
          <w:b/>
          <w:bCs/>
          <w:color w:val="000000" w:themeColor="text1"/>
          <w:lang w:val="ro-RO" w:eastAsia="ro-MD"/>
        </w:rPr>
        <w:t>64</w:t>
      </w:r>
      <w:r w:rsidR="00EC0A5E" w:rsidRPr="000B2CBE">
        <w:rPr>
          <w:b/>
          <w:bCs/>
          <w:color w:val="000000" w:themeColor="text1"/>
          <w:vertAlign w:val="superscript"/>
          <w:lang w:val="ro-RO" w:eastAsia="ro-MD"/>
        </w:rPr>
        <w:t>1</w:t>
      </w:r>
      <w:r w:rsidR="00EC0A5E" w:rsidRPr="000B2CBE">
        <w:rPr>
          <w:b/>
          <w:bCs/>
          <w:color w:val="000000" w:themeColor="text1"/>
          <w:lang w:val="ro-RO" w:eastAsia="ro-MD"/>
        </w:rPr>
        <w:t>.</w:t>
      </w:r>
      <w:r w:rsidR="00EC0A5E" w:rsidRPr="000B2CBE">
        <w:rPr>
          <w:color w:val="000000" w:themeColor="text1"/>
          <w:lang w:val="ro-RO" w:eastAsia="ro-MD"/>
        </w:rPr>
        <w:t xml:space="preserve"> Prin derogare de la punctul 62, pentru o expunere față de societăți garantată cu un instrument financiar derivat de credit, nu este obligatoriu ca evenimentul de credit menționat la punctul 62 subpunctul 1) litera c) să fie specificat în contractul derivat dacă sunt îndeplinite cumulativ următoarele condiții:</w:t>
      </w:r>
    </w:p>
    <w:p w14:paraId="03B8AEAE" w14:textId="77777777" w:rsidR="00EC0A5E" w:rsidRPr="000B2CBE" w:rsidRDefault="00EC0A5E" w:rsidP="00EC0A5E">
      <w:pPr>
        <w:ind w:firstLine="567"/>
        <w:jc w:val="both"/>
        <w:rPr>
          <w:color w:val="000000" w:themeColor="text1"/>
          <w:lang w:val="ro-RO" w:eastAsia="ro-MD"/>
        </w:rPr>
      </w:pPr>
      <w:r w:rsidRPr="000B2CBE">
        <w:rPr>
          <w:color w:val="000000" w:themeColor="text1"/>
          <w:lang w:val="ro-RO" w:eastAsia="ro-MD"/>
        </w:rPr>
        <w:t>1) este necesar un vot de 100 % pentru a modifica scadența, principalul, cuponul, moneda sau rangul expunerii-suport față de societăți;</w:t>
      </w:r>
    </w:p>
    <w:p w14:paraId="5F12047A" w14:textId="49955E68" w:rsidR="00EC0A5E" w:rsidRPr="000B2CBE" w:rsidRDefault="00EC0A5E" w:rsidP="00EC0A5E">
      <w:pPr>
        <w:ind w:firstLine="567"/>
        <w:jc w:val="both"/>
        <w:rPr>
          <w:color w:val="000000" w:themeColor="text1"/>
          <w:lang w:val="ro-RO" w:eastAsia="ro-MD"/>
        </w:rPr>
      </w:pPr>
      <w:r w:rsidRPr="000B2CBE">
        <w:rPr>
          <w:color w:val="000000" w:themeColor="text1"/>
          <w:lang w:val="ro-RO" w:eastAsia="ro-MD"/>
        </w:rPr>
        <w:t>2) sediul legal unde este reglementată expunerea față de societăți are un cod bine stabilit privind falimentul, care permite unei societăți să se reorganizeze și să se restructureze și prevede decontarea ordonată a creanțelor creditorilor.</w:t>
      </w:r>
    </w:p>
    <w:p w14:paraId="30B15309" w14:textId="5142B029" w:rsidR="00551A0E" w:rsidRPr="000B2CBE" w:rsidRDefault="00EC0A5E" w:rsidP="00EC0A5E">
      <w:pPr>
        <w:tabs>
          <w:tab w:val="left" w:pos="567"/>
        </w:tabs>
        <w:spacing w:before="80"/>
        <w:jc w:val="both"/>
        <w:rPr>
          <w:color w:val="000000" w:themeColor="text1"/>
          <w:lang w:val="ro-MD"/>
        </w:rPr>
      </w:pPr>
      <w:r w:rsidRPr="000B2CBE">
        <w:rPr>
          <w:color w:val="000000" w:themeColor="text1"/>
          <w:lang w:val="ro-RO" w:eastAsia="ro-MD"/>
        </w:rPr>
        <w:t>În cazul în care condițiile prevăzute la subpunctele 1) și 2) nu sunt îndeplinite, protecția creditului poate fi totuși eligibilă, sub rezerva unei reduceri a valorii, astfel cum se specifică la punctul 111.</w:t>
      </w:r>
      <w:r w:rsidR="00881A1C" w:rsidRPr="000B2CBE">
        <w:rPr>
          <w:color w:val="000000" w:themeColor="text1"/>
          <w:lang w:val="ro-RO" w:eastAsia="ro-MD"/>
        </w:rPr>
        <w:t>”</w:t>
      </w:r>
      <w:r w:rsidR="00C94E5E" w:rsidRPr="000B2CBE">
        <w:rPr>
          <w:color w:val="000000" w:themeColor="text1"/>
          <w:lang w:val="ro-MD"/>
        </w:rPr>
        <w:t>.</w:t>
      </w:r>
    </w:p>
    <w:p w14:paraId="60545C23" w14:textId="631E8B9C" w:rsidR="00D416E6" w:rsidRPr="000B2CBE" w:rsidRDefault="001567B9" w:rsidP="001567B9">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w:t>
      </w:r>
      <w:r w:rsidR="00077C4D" w:rsidRPr="000B2CBE">
        <w:rPr>
          <w:color w:val="000000" w:themeColor="text1"/>
          <w:lang w:val="ro-MD"/>
        </w:rPr>
        <w:t xml:space="preserve">unctul </w:t>
      </w:r>
      <w:r w:rsidRPr="000B2CBE">
        <w:rPr>
          <w:color w:val="000000" w:themeColor="text1"/>
          <w:lang w:val="ro-MD"/>
        </w:rPr>
        <w:t>65</w:t>
      </w:r>
      <w:r w:rsidR="006952B7">
        <w:rPr>
          <w:color w:val="000000" w:themeColor="text1"/>
          <w:lang w:val="ro-MD"/>
        </w:rPr>
        <w:t>,</w:t>
      </w:r>
      <w:r w:rsidRPr="000B2CBE">
        <w:rPr>
          <w:color w:val="000000" w:themeColor="text1"/>
          <w:lang w:val="ro-MD"/>
        </w:rPr>
        <w:t xml:space="preserve"> cuvintele „</w:t>
      </w:r>
      <w:r w:rsidRPr="000B2CBE">
        <w:rPr>
          <w:color w:val="000000" w:themeColor="text1"/>
          <w:lang w:val="ro-RO" w:eastAsia="ro-MD"/>
        </w:rPr>
        <w:t>care sunt exprimate în aceeași monedă”</w:t>
      </w:r>
      <w:r w:rsidR="00D416E6" w:rsidRPr="000B2CBE">
        <w:rPr>
          <w:color w:val="000000" w:themeColor="text1"/>
          <w:lang w:val="ro-MD"/>
        </w:rPr>
        <w:t xml:space="preserve"> se </w:t>
      </w:r>
      <w:r w:rsidRPr="000B2CBE">
        <w:rPr>
          <w:color w:val="000000" w:themeColor="text1"/>
          <w:lang w:val="ro-MD"/>
        </w:rPr>
        <w:t>exclud.</w:t>
      </w:r>
    </w:p>
    <w:p w14:paraId="07E1A8AC" w14:textId="332BDD4D" w:rsidR="00242BCF" w:rsidRPr="000B2CBE" w:rsidRDefault="00010541" w:rsidP="001F56A6">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La </w:t>
      </w:r>
      <w:r w:rsidR="00D416E6" w:rsidRPr="000B2CBE">
        <w:rPr>
          <w:color w:val="000000" w:themeColor="text1"/>
          <w:lang w:val="ro-MD"/>
        </w:rPr>
        <w:t xml:space="preserve">punctul </w:t>
      </w:r>
      <w:r w:rsidRPr="000B2CBE">
        <w:rPr>
          <w:color w:val="000000" w:themeColor="text1"/>
          <w:lang w:val="ro-MD"/>
        </w:rPr>
        <w:t>68</w:t>
      </w:r>
      <w:r w:rsidR="006952B7">
        <w:rPr>
          <w:color w:val="000000" w:themeColor="text1"/>
          <w:lang w:val="ro-MD"/>
        </w:rPr>
        <w:t>,</w:t>
      </w:r>
      <w:r w:rsidRPr="000B2CBE">
        <w:rPr>
          <w:color w:val="000000" w:themeColor="text1"/>
          <w:lang w:val="ro-MD"/>
        </w:rPr>
        <w:t xml:space="preserve"> textul „</w:t>
      </w:r>
      <w:r w:rsidRPr="000B2CBE">
        <w:rPr>
          <w:color w:val="000000" w:themeColor="text1"/>
          <w:lang w:val="ro-RO" w:eastAsia="ro-MD"/>
        </w:rPr>
        <w:t>tranzacțiile de răscumpărare sau operațiunile de dare sau luare de valori mobiliare sau mărfuri cu împrumut”</w:t>
      </w:r>
      <w:r w:rsidR="00F36DB2" w:rsidRPr="000B2CBE">
        <w:rPr>
          <w:color w:val="000000" w:themeColor="text1"/>
          <w:lang w:val="ro-MD"/>
        </w:rPr>
        <w:t xml:space="preserve"> </w:t>
      </w:r>
      <w:r w:rsidRPr="000B2CBE">
        <w:rPr>
          <w:color w:val="000000" w:themeColor="text1"/>
          <w:lang w:val="ro-MD"/>
        </w:rPr>
        <w:t>se substituie cu textul „</w:t>
      </w:r>
      <w:r w:rsidRPr="000B2CBE">
        <w:rPr>
          <w:color w:val="000000" w:themeColor="text1"/>
          <w:lang w:val="ro-RO" w:eastAsia="ro-MD"/>
        </w:rPr>
        <w:t>operațiunile de finanțare prin instrumente financiare</w:t>
      </w:r>
      <w:r w:rsidR="00F36DB2" w:rsidRPr="000B2CBE">
        <w:rPr>
          <w:color w:val="000000" w:themeColor="text1"/>
          <w:lang w:val="ro-RO" w:eastAsia="ro-MD"/>
        </w:rPr>
        <w:t>”.</w:t>
      </w:r>
    </w:p>
    <w:p w14:paraId="07D7597D" w14:textId="2C781B58" w:rsidR="00D416E6" w:rsidRPr="000B2CBE" w:rsidRDefault="00010541" w:rsidP="00D92B2C">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w:t>
      </w:r>
      <w:r w:rsidR="00D416E6" w:rsidRPr="000B2CBE">
        <w:rPr>
          <w:color w:val="000000" w:themeColor="text1"/>
          <w:lang w:val="ro-MD"/>
        </w:rPr>
        <w:t xml:space="preserve">unctul </w:t>
      </w:r>
      <w:r w:rsidRPr="000B2CBE">
        <w:rPr>
          <w:color w:val="000000" w:themeColor="text1"/>
          <w:lang w:val="ro-MD"/>
        </w:rPr>
        <w:t>69</w:t>
      </w:r>
      <w:r w:rsidR="006952B7">
        <w:rPr>
          <w:color w:val="000000" w:themeColor="text1"/>
          <w:lang w:val="ro-MD"/>
        </w:rPr>
        <w:t>,</w:t>
      </w:r>
      <w:r w:rsidRPr="000B2CBE">
        <w:rPr>
          <w:color w:val="000000" w:themeColor="text1"/>
          <w:lang w:val="ro-MD"/>
        </w:rPr>
        <w:t xml:space="preserve"> subpunctul 3)</w:t>
      </w:r>
      <w:r w:rsidR="0008627B" w:rsidRPr="000B2CBE">
        <w:rPr>
          <w:color w:val="000000" w:themeColor="text1"/>
          <w:lang w:val="ro-MD"/>
        </w:rPr>
        <w:t xml:space="preserve"> </w:t>
      </w:r>
      <w:r w:rsidR="00A42B1F" w:rsidRPr="000B2CBE">
        <w:rPr>
          <w:color w:val="000000" w:themeColor="text1"/>
          <w:lang w:val="ro-MD"/>
        </w:rPr>
        <w:t>va avea următorul cuprins:</w:t>
      </w:r>
    </w:p>
    <w:p w14:paraId="66E51FF3" w14:textId="7CC10E19" w:rsidR="00A42B1F" w:rsidRPr="000B2CBE" w:rsidRDefault="00A42B1F" w:rsidP="00A42B1F">
      <w:pPr>
        <w:tabs>
          <w:tab w:val="left" w:pos="567"/>
        </w:tabs>
        <w:spacing w:before="80"/>
        <w:jc w:val="both"/>
        <w:rPr>
          <w:color w:val="000000" w:themeColor="text1"/>
          <w:lang w:val="ro-MD"/>
        </w:rPr>
      </w:pPr>
      <w:r w:rsidRPr="000B2CBE">
        <w:rPr>
          <w:color w:val="000000" w:themeColor="text1"/>
          <w:lang w:val="ro-MD"/>
        </w:rPr>
        <w:lastRenderedPageBreak/>
        <w:t>„</w:t>
      </w:r>
      <w:r w:rsidR="00010541" w:rsidRPr="000B2CBE">
        <w:rPr>
          <w:color w:val="000000" w:themeColor="text1"/>
          <w:lang w:val="ro-RO" w:eastAsia="ro-MD"/>
        </w:rPr>
        <w:t>3) să aplice valoarea ajustării de volatilitate sau, dacă este cazul, valoarea absolută a ajustării de volatilitate adecvate unui anumit grup de valori mobiliare sau pentru un anumit tip de mărfuri, valorii absolute a poziției nete pozitive sau negative în valorile mobiliare din grupul respectiv de valori mobiliare, sau pe mărfurile din acel tip de mărfuri;</w:t>
      </w:r>
      <w:r w:rsidRPr="000B2CBE">
        <w:rPr>
          <w:color w:val="000000" w:themeColor="text1"/>
          <w:lang w:val="ro-RO" w:eastAsia="ro-MD"/>
        </w:rPr>
        <w:t>”.</w:t>
      </w:r>
    </w:p>
    <w:p w14:paraId="541FBDDB" w14:textId="7686B161" w:rsidR="00831AF6" w:rsidRPr="000B2CBE" w:rsidRDefault="006F2AB2" w:rsidP="00831AF6">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Punctul 70 va avea</w:t>
      </w:r>
      <w:r w:rsidR="00831AF6" w:rsidRPr="000B2CBE">
        <w:rPr>
          <w:color w:val="000000" w:themeColor="text1"/>
          <w:lang w:val="ro-MD"/>
        </w:rPr>
        <w:t xml:space="preserve"> următorul cuprins:</w:t>
      </w:r>
    </w:p>
    <w:p w14:paraId="1449CDB2" w14:textId="77777777" w:rsidR="006F2AB2" w:rsidRPr="000B2CBE" w:rsidRDefault="00831AF6" w:rsidP="006F2AB2">
      <w:pPr>
        <w:jc w:val="both"/>
        <w:rPr>
          <w:color w:val="000000" w:themeColor="text1"/>
          <w:lang w:val="ro-RO" w:eastAsia="ro-MD"/>
        </w:rPr>
      </w:pPr>
      <w:r w:rsidRPr="000B2CBE">
        <w:rPr>
          <w:color w:val="000000" w:themeColor="text1"/>
          <w:lang w:val="ro-MD"/>
        </w:rPr>
        <w:t>„</w:t>
      </w:r>
      <w:r w:rsidR="006F2AB2" w:rsidRPr="000B2CBE">
        <w:rPr>
          <w:b/>
          <w:bCs/>
          <w:color w:val="000000" w:themeColor="text1"/>
          <w:lang w:val="ro-RO" w:eastAsia="ro-MD"/>
        </w:rPr>
        <w:t>70.</w:t>
      </w:r>
      <w:r w:rsidR="006F2AB2" w:rsidRPr="000B2CBE">
        <w:rPr>
          <w:color w:val="000000" w:themeColor="text1"/>
          <w:lang w:val="ro-RO" w:eastAsia="ro-MD"/>
        </w:rPr>
        <w:t xml:space="preserve"> Băncile trebuie să calculeze valoarea ajustată integral a expunerii (E*) conform următoarei formule:</w:t>
      </w:r>
    </w:p>
    <w:p w14:paraId="2D3BB3A4" w14:textId="77777777" w:rsidR="006F2AB2" w:rsidRPr="000B2CBE" w:rsidRDefault="006F2AB2" w:rsidP="006F2AB2">
      <w:pPr>
        <w:jc w:val="both"/>
        <w:rPr>
          <w:color w:val="000000" w:themeColor="text1"/>
          <w:lang w:val="ro-RO" w:eastAsia="ro-MD"/>
        </w:rPr>
      </w:pPr>
      <w:r w:rsidRPr="000B2CBE">
        <w:rPr>
          <w:noProof/>
          <w:color w:val="000000" w:themeColor="text1"/>
        </w:rPr>
        <w:drawing>
          <wp:inline distT="0" distB="0" distL="0" distR="0" wp14:anchorId="74B97736" wp14:editId="0A1F58BE">
            <wp:extent cx="5495925" cy="771525"/>
            <wp:effectExtent l="0" t="0" r="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5925" cy="771525"/>
                    </a:xfrm>
                    <a:prstGeom prst="rect">
                      <a:avLst/>
                    </a:prstGeom>
                    <a:noFill/>
                    <a:ln>
                      <a:noFill/>
                    </a:ln>
                  </pic:spPr>
                </pic:pic>
              </a:graphicData>
            </a:graphic>
          </wp:inline>
        </w:drawing>
      </w:r>
      <w:r w:rsidRPr="000B2CBE">
        <w:rPr>
          <w:color w:val="000000" w:themeColor="text1"/>
          <w:lang w:val="ro-RO" w:eastAsia="ro-MD"/>
        </w:rPr>
        <w:t> </w:t>
      </w:r>
    </w:p>
    <w:p w14:paraId="666762E2" w14:textId="77777777" w:rsidR="006F2AB2" w:rsidRPr="000B2CBE" w:rsidRDefault="006F2AB2" w:rsidP="006F2AB2">
      <w:pPr>
        <w:ind w:firstLine="567"/>
        <w:jc w:val="both"/>
        <w:rPr>
          <w:color w:val="000000" w:themeColor="text1"/>
          <w:lang w:val="ro-RO" w:eastAsia="ro-MD"/>
        </w:rPr>
      </w:pPr>
      <w:r w:rsidRPr="000B2CBE">
        <w:rPr>
          <w:color w:val="000000" w:themeColor="text1"/>
          <w:lang w:val="ro-RO" w:eastAsia="ro-MD"/>
        </w:rPr>
        <w:t>unde:</w:t>
      </w:r>
    </w:p>
    <w:p w14:paraId="27495CCF" w14:textId="77777777" w:rsidR="006F2AB2" w:rsidRPr="000B2CBE" w:rsidRDefault="006F2AB2" w:rsidP="006F2AB2">
      <w:pPr>
        <w:ind w:firstLine="567"/>
        <w:jc w:val="both"/>
        <w:rPr>
          <w:color w:val="000000" w:themeColor="text1"/>
          <w:lang w:val="ro-RO" w:eastAsia="ro-MD"/>
        </w:rPr>
      </w:pPr>
      <w:r w:rsidRPr="000B2CBE">
        <w:rPr>
          <w:color w:val="000000" w:themeColor="text1"/>
          <w:lang w:val="ro-RO" w:eastAsia="ro-MD"/>
        </w:rPr>
        <w:t xml:space="preserve">i = indicele care desemnează toate titlurile de valoare, mărfurile sau pozițiile în numerar separate din cadrul acordului care sunt date cu împrumut, vândute cu acordul de a răscumpăra sau furnizate de bancă </w:t>
      </w:r>
      <w:proofErr w:type="spellStart"/>
      <w:r w:rsidRPr="000B2CBE">
        <w:rPr>
          <w:color w:val="000000" w:themeColor="text1"/>
          <w:lang w:val="ro-RO" w:eastAsia="ro-MD"/>
        </w:rPr>
        <w:t>contrapărții</w:t>
      </w:r>
      <w:proofErr w:type="spellEnd"/>
      <w:r w:rsidRPr="000B2CBE">
        <w:rPr>
          <w:color w:val="000000" w:themeColor="text1"/>
          <w:lang w:val="ro-RO" w:eastAsia="ro-MD"/>
        </w:rPr>
        <w:t>;</w:t>
      </w:r>
    </w:p>
    <w:p w14:paraId="447A2978" w14:textId="77777777" w:rsidR="006F2AB2" w:rsidRPr="000B2CBE" w:rsidRDefault="006F2AB2" w:rsidP="006F2AB2">
      <w:pPr>
        <w:ind w:firstLine="567"/>
        <w:jc w:val="both"/>
        <w:rPr>
          <w:color w:val="000000" w:themeColor="text1"/>
          <w:lang w:val="ro-RO" w:eastAsia="ro-MD"/>
        </w:rPr>
      </w:pPr>
      <w:r w:rsidRPr="000B2CBE">
        <w:rPr>
          <w:color w:val="000000" w:themeColor="text1"/>
          <w:lang w:val="ro-RO" w:eastAsia="ro-MD"/>
        </w:rPr>
        <w:t>j = indicele care desemnează toate titlurile de valoare, mărfurile sau pozițiile în numerar separate din cadrul acordului care sunt luate cu împrumut, achiziționate cu acordul de a revinde sau deținute de bancă;</w:t>
      </w:r>
    </w:p>
    <w:p w14:paraId="1D95CA3F" w14:textId="77777777" w:rsidR="006F2AB2" w:rsidRPr="000B2CBE" w:rsidRDefault="006F2AB2" w:rsidP="006F2AB2">
      <w:pPr>
        <w:ind w:firstLine="567"/>
        <w:jc w:val="both"/>
        <w:rPr>
          <w:color w:val="000000" w:themeColor="text1"/>
          <w:lang w:val="ro-RO" w:eastAsia="ro-MD"/>
        </w:rPr>
      </w:pPr>
      <w:r w:rsidRPr="000B2CBE">
        <w:rPr>
          <w:color w:val="000000" w:themeColor="text1"/>
          <w:lang w:val="ro-RO" w:eastAsia="ro-MD"/>
        </w:rPr>
        <w:t>k = indicele care desemnează toate monedele separate în care sunt denominate titlurile de valoare, mărfurile sau pozițiile în numerar din cadrul acordului;</w:t>
      </w:r>
    </w:p>
    <w:p w14:paraId="167C8AB6" w14:textId="77777777" w:rsidR="006F2AB2" w:rsidRPr="000B2CBE" w:rsidRDefault="006F2AB2" w:rsidP="006F2AB2">
      <w:pPr>
        <w:ind w:firstLine="567"/>
        <w:jc w:val="both"/>
        <w:rPr>
          <w:color w:val="000000" w:themeColor="text1"/>
          <w:lang w:val="ro-RO" w:eastAsia="ro-MD"/>
        </w:rPr>
      </w:pPr>
      <w:r w:rsidRPr="000B2CBE">
        <w:rPr>
          <w:color w:val="000000" w:themeColor="text1"/>
          <w:lang w:val="ro-RO" w:eastAsia="ro-MD"/>
        </w:rPr>
        <w:t>E</w:t>
      </w:r>
      <w:r w:rsidRPr="000B2CBE">
        <w:rPr>
          <w:color w:val="000000" w:themeColor="text1"/>
          <w:vertAlign w:val="subscript"/>
          <w:lang w:val="ro-RO" w:eastAsia="ro-MD"/>
        </w:rPr>
        <w:t>i</w:t>
      </w:r>
      <w:r w:rsidRPr="000B2CBE">
        <w:rPr>
          <w:color w:val="000000" w:themeColor="text1"/>
          <w:lang w:val="ro-RO" w:eastAsia="ro-MD"/>
        </w:rPr>
        <w:t xml:space="preserve"> = valoarea expunerii pentru un anumit titlu de valoare, o anumită marfă sau o anumită poziție în numerar i, care este dat(ă) cu împrumut, vândut(ă) cu un acord de răscumpărare sau furnizat(ă) </w:t>
      </w:r>
      <w:proofErr w:type="spellStart"/>
      <w:r w:rsidRPr="000B2CBE">
        <w:rPr>
          <w:color w:val="000000" w:themeColor="text1"/>
          <w:lang w:val="ro-RO" w:eastAsia="ro-MD"/>
        </w:rPr>
        <w:t>contrapărții</w:t>
      </w:r>
      <w:proofErr w:type="spellEnd"/>
      <w:r w:rsidRPr="000B2CBE">
        <w:rPr>
          <w:color w:val="000000" w:themeColor="text1"/>
          <w:lang w:val="ro-RO" w:eastAsia="ro-MD"/>
        </w:rPr>
        <w:t xml:space="preserve"> în cadrul acordului, valoare care s-ar aplica în lipsa unei protecții a creditului în cazul în care băncile calculează valorile ponderate la risc ale expunerilor în conformitate cu Regulamentul nr.111/2018 sau actul normativ al Băncii Naționale a Moldovei aferent tratamentului riscului de credit pentru bănci potrivit abordării bazate pe modele interne de rating, după caz;</w:t>
      </w:r>
    </w:p>
    <w:p w14:paraId="7923B28C" w14:textId="77777777" w:rsidR="006F2AB2" w:rsidRPr="000B2CBE" w:rsidRDefault="006F2AB2" w:rsidP="006F2AB2">
      <w:pPr>
        <w:ind w:firstLine="567"/>
        <w:jc w:val="both"/>
        <w:rPr>
          <w:color w:val="000000" w:themeColor="text1"/>
          <w:lang w:val="ro-RO" w:eastAsia="ro-MD"/>
        </w:rPr>
      </w:pPr>
      <w:proofErr w:type="spellStart"/>
      <w:r w:rsidRPr="000B2CBE">
        <w:rPr>
          <w:color w:val="000000" w:themeColor="text1"/>
          <w:lang w:val="ro-RO" w:eastAsia="ro-MD"/>
        </w:rPr>
        <w:t>C</w:t>
      </w:r>
      <w:r w:rsidRPr="000B2CBE">
        <w:rPr>
          <w:color w:val="000000" w:themeColor="text1"/>
          <w:vertAlign w:val="subscript"/>
          <w:lang w:val="ro-RO" w:eastAsia="ro-MD"/>
        </w:rPr>
        <w:t>j</w:t>
      </w:r>
      <w:proofErr w:type="spellEnd"/>
      <w:r w:rsidRPr="000B2CBE">
        <w:rPr>
          <w:color w:val="000000" w:themeColor="text1"/>
          <w:vertAlign w:val="subscript"/>
          <w:lang w:val="ro-RO" w:eastAsia="ro-MD"/>
        </w:rPr>
        <w:t xml:space="preserve"> </w:t>
      </w:r>
      <w:r w:rsidRPr="000B2CBE">
        <w:rPr>
          <w:color w:val="000000" w:themeColor="text1"/>
          <w:lang w:val="ro-RO" w:eastAsia="ro-MD"/>
        </w:rPr>
        <w:t>= valoarea unui anumit titlu de valoare, a unei anumite mărfuri sau a unei anumite poziții în mijloace bănești j, care este luat(ă) cu împrumut, achiziționat(ă) cu un acord de revânzare sau deținut(ă) de bancă în cadrul acordului;</w:t>
      </w:r>
    </w:p>
    <w:p w14:paraId="6985AF2D" w14:textId="77777777" w:rsidR="006F2AB2" w:rsidRPr="000B2CBE" w:rsidRDefault="006F2AB2" w:rsidP="006F2AB2">
      <w:pPr>
        <w:ind w:firstLine="567"/>
        <w:jc w:val="both"/>
        <w:rPr>
          <w:color w:val="000000" w:themeColor="text1"/>
          <w:lang w:val="ro-RO" w:eastAsia="ro-MD"/>
        </w:rPr>
      </w:pPr>
      <w:proofErr w:type="spellStart"/>
      <w:r w:rsidRPr="000B2CBE">
        <w:rPr>
          <w:color w:val="000000" w:themeColor="text1"/>
          <w:lang w:val="ro-RO" w:eastAsia="ro-MD"/>
        </w:rPr>
        <w:t>E</w:t>
      </w:r>
      <w:r w:rsidRPr="000B2CBE">
        <w:rPr>
          <w:color w:val="000000" w:themeColor="text1"/>
          <w:vertAlign w:val="subscript"/>
          <w:lang w:val="ro-RO" w:eastAsia="ro-MD"/>
        </w:rPr>
        <w:t>k</w:t>
      </w:r>
      <w:r w:rsidRPr="000B2CBE">
        <w:rPr>
          <w:color w:val="000000" w:themeColor="text1"/>
          <w:vertAlign w:val="superscript"/>
          <w:lang w:val="ro-RO" w:eastAsia="ro-MD"/>
        </w:rPr>
        <w:t>fx</w:t>
      </w:r>
      <w:proofErr w:type="spellEnd"/>
      <w:r w:rsidRPr="000B2CBE">
        <w:rPr>
          <w:color w:val="000000" w:themeColor="text1"/>
          <w:lang w:val="ro-RO" w:eastAsia="ro-MD"/>
        </w:rPr>
        <w:t xml:space="preserve"> = poziția netă (pozitivă sau negativă) într-o monedă dată </w:t>
      </w:r>
      <w:r w:rsidRPr="000B2CBE">
        <w:rPr>
          <w:i/>
          <w:iCs/>
          <w:color w:val="000000" w:themeColor="text1"/>
          <w:lang w:val="ro-RO" w:eastAsia="ro-MD"/>
        </w:rPr>
        <w:t>k</w:t>
      </w:r>
      <w:r w:rsidRPr="000B2CBE">
        <w:rPr>
          <w:color w:val="000000" w:themeColor="text1"/>
          <w:lang w:val="ro-RO" w:eastAsia="ro-MD"/>
        </w:rPr>
        <w:t>, alta decât moneda de decontare a acordului, astfel cum este calculată în conformitate cu punctul 69 subpunctul 2);</w:t>
      </w:r>
    </w:p>
    <w:p w14:paraId="489E372D" w14:textId="77777777" w:rsidR="006F2AB2" w:rsidRPr="000B2CBE" w:rsidRDefault="006F2AB2" w:rsidP="006F2AB2">
      <w:pPr>
        <w:ind w:firstLine="567"/>
        <w:jc w:val="both"/>
        <w:rPr>
          <w:color w:val="000000" w:themeColor="text1"/>
          <w:lang w:val="ro-RO" w:eastAsia="ro-MD"/>
        </w:rPr>
      </w:pPr>
      <w:proofErr w:type="spellStart"/>
      <w:r w:rsidRPr="000B2CBE">
        <w:rPr>
          <w:color w:val="000000" w:themeColor="text1"/>
          <w:lang w:val="ro-RO" w:eastAsia="ro-MD"/>
        </w:rPr>
        <w:t>H</w:t>
      </w:r>
      <w:r w:rsidRPr="000B2CBE">
        <w:rPr>
          <w:color w:val="000000" w:themeColor="text1"/>
          <w:vertAlign w:val="subscript"/>
          <w:lang w:val="ro-RO" w:eastAsia="ro-MD"/>
        </w:rPr>
        <w:t>j</w:t>
      </w:r>
      <w:r w:rsidRPr="000B2CBE">
        <w:rPr>
          <w:color w:val="000000" w:themeColor="text1"/>
          <w:vertAlign w:val="superscript"/>
          <w:lang w:val="ro-RO" w:eastAsia="ro-MD"/>
        </w:rPr>
        <w:t>sec</w:t>
      </w:r>
      <w:proofErr w:type="spellEnd"/>
      <w:r w:rsidRPr="000B2CBE">
        <w:rPr>
          <w:color w:val="000000" w:themeColor="text1"/>
          <w:lang w:val="ro-RO" w:eastAsia="ro-MD"/>
        </w:rPr>
        <w:t xml:space="preserve"> = ajustarea de volatilitate adecvată unui anumit grup de valori mobiliare </w:t>
      </w:r>
      <w:r w:rsidRPr="000B2CBE">
        <w:rPr>
          <w:i/>
          <w:iCs/>
          <w:color w:val="000000" w:themeColor="text1"/>
          <w:lang w:val="ro-RO" w:eastAsia="ro-MD"/>
        </w:rPr>
        <w:t>j</w:t>
      </w:r>
      <w:r w:rsidRPr="000B2CBE">
        <w:rPr>
          <w:color w:val="000000" w:themeColor="text1"/>
          <w:lang w:val="ro-RO" w:eastAsia="ro-MD"/>
        </w:rPr>
        <w:t>;</w:t>
      </w:r>
    </w:p>
    <w:p w14:paraId="78B78D6A" w14:textId="77777777" w:rsidR="006F2AB2" w:rsidRPr="000B2CBE" w:rsidRDefault="006F2AB2" w:rsidP="006F2AB2">
      <w:pPr>
        <w:ind w:firstLine="567"/>
        <w:jc w:val="both"/>
        <w:rPr>
          <w:color w:val="000000" w:themeColor="text1"/>
          <w:lang w:val="ro-RO" w:eastAsia="ro-MD"/>
        </w:rPr>
      </w:pPr>
      <w:proofErr w:type="spellStart"/>
      <w:r w:rsidRPr="000B2CBE">
        <w:rPr>
          <w:color w:val="000000" w:themeColor="text1"/>
          <w:lang w:val="ro-RO" w:eastAsia="ro-MD"/>
        </w:rPr>
        <w:t>H</w:t>
      </w:r>
      <w:r w:rsidRPr="000B2CBE">
        <w:rPr>
          <w:color w:val="000000" w:themeColor="text1"/>
          <w:vertAlign w:val="subscript"/>
          <w:lang w:val="ro-RO" w:eastAsia="ro-MD"/>
        </w:rPr>
        <w:t>k</w:t>
      </w:r>
      <w:r w:rsidRPr="000B2CBE">
        <w:rPr>
          <w:color w:val="000000" w:themeColor="text1"/>
          <w:vertAlign w:val="superscript"/>
          <w:lang w:val="ro-RO" w:eastAsia="ro-MD"/>
        </w:rPr>
        <w:t>fx</w:t>
      </w:r>
      <w:proofErr w:type="spellEnd"/>
      <w:r w:rsidRPr="000B2CBE">
        <w:rPr>
          <w:color w:val="000000" w:themeColor="text1"/>
          <w:lang w:val="ro-RO" w:eastAsia="ro-MD"/>
        </w:rPr>
        <w:t xml:space="preserve"> = ajustarea de volatilitate aferentă riscului valutar pentru moneda </w:t>
      </w:r>
      <w:r w:rsidRPr="000B2CBE">
        <w:rPr>
          <w:i/>
          <w:iCs/>
          <w:color w:val="000000" w:themeColor="text1"/>
          <w:lang w:val="ro-RO" w:eastAsia="ro-MD"/>
        </w:rPr>
        <w:t>k,</w:t>
      </w:r>
      <w:r w:rsidRPr="000B2CBE">
        <w:rPr>
          <w:color w:val="000000" w:themeColor="text1"/>
          <w:lang w:val="ro-RO" w:eastAsia="ro-MD"/>
        </w:rPr>
        <w:t xml:space="preserve"> calculată în conformitate cu secțiunea 6 din prezentul capitol.</w:t>
      </w:r>
    </w:p>
    <w:p w14:paraId="34B91412" w14:textId="77777777" w:rsidR="006F2AB2" w:rsidRPr="000B2CBE" w:rsidRDefault="006F2AB2" w:rsidP="006F2AB2">
      <w:pPr>
        <w:ind w:firstLine="567"/>
        <w:jc w:val="both"/>
        <w:rPr>
          <w:color w:val="000000" w:themeColor="text1"/>
          <w:lang w:val="ro-RO" w:eastAsia="ro-MD"/>
        </w:rPr>
      </w:pPr>
      <w:r w:rsidRPr="000B2CBE">
        <w:rPr>
          <w:noProof/>
          <w:color w:val="000000" w:themeColor="text1"/>
          <w:lang w:val="ro-RO"/>
        </w:rPr>
        <w:drawing>
          <wp:inline distT="0" distB="0" distL="0" distR="0" wp14:anchorId="6F9C29E4" wp14:editId="21D12AE8">
            <wp:extent cx="323850" cy="276225"/>
            <wp:effectExtent l="0" t="0" r="0" b="0"/>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0B2CBE">
        <w:rPr>
          <w:color w:val="000000" w:themeColor="text1"/>
          <w:lang w:val="ro-RO" w:eastAsia="ro-MD"/>
        </w:rPr>
        <w:t>= ajustarea de volatilitate corespunzătoare cursului de schimb aferent monedei k;</w:t>
      </w:r>
    </w:p>
    <w:p w14:paraId="3B43B40E" w14:textId="77777777" w:rsidR="006F2AB2" w:rsidRPr="000B2CBE" w:rsidRDefault="006F2AB2" w:rsidP="006F2AB2">
      <w:pPr>
        <w:spacing w:before="195" w:line="312" w:lineRule="atLeast"/>
        <w:ind w:firstLine="567"/>
        <w:jc w:val="both"/>
        <w:rPr>
          <w:color w:val="000000" w:themeColor="text1"/>
          <w:lang w:val="ro-RO" w:eastAsia="ro-MD"/>
        </w:rPr>
      </w:pPr>
      <w:proofErr w:type="spellStart"/>
      <w:r w:rsidRPr="000B2CBE">
        <w:rPr>
          <w:i/>
          <w:iCs/>
          <w:color w:val="000000" w:themeColor="text1"/>
          <w:lang w:val="ro-RO" w:eastAsia="ro-MD"/>
        </w:rPr>
        <w:t>E</w:t>
      </w:r>
      <w:r w:rsidRPr="000B2CBE">
        <w:rPr>
          <w:i/>
          <w:iCs/>
          <w:color w:val="000000" w:themeColor="text1"/>
          <w:vertAlign w:val="subscript"/>
          <w:lang w:val="ro-RO" w:eastAsia="ro-MD"/>
        </w:rPr>
        <w:t>net</w:t>
      </w:r>
      <w:proofErr w:type="spellEnd"/>
      <w:r w:rsidRPr="000B2CBE">
        <w:rPr>
          <w:i/>
          <w:iCs/>
          <w:color w:val="000000" w:themeColor="text1"/>
          <w:vertAlign w:val="subscript"/>
          <w:lang w:val="ro-RO" w:eastAsia="ro-MD"/>
        </w:rPr>
        <w:t xml:space="preserve"> = </w:t>
      </w:r>
      <w:r w:rsidRPr="000B2CBE">
        <w:rPr>
          <w:color w:val="000000" w:themeColor="text1"/>
          <w:lang w:val="ro-RO" w:eastAsia="ro-MD"/>
        </w:rPr>
        <w:t>expunerea netă a acordului, calculată după cum urmează:</w:t>
      </w:r>
    </w:p>
    <w:p w14:paraId="2F5F5BCC" w14:textId="77777777" w:rsidR="006F2AB2" w:rsidRPr="000B2CBE" w:rsidRDefault="006F2AB2" w:rsidP="006F2AB2">
      <w:pPr>
        <w:shd w:val="clear" w:color="auto" w:fill="FFFFFF"/>
        <w:spacing w:before="120" w:line="312" w:lineRule="atLeast"/>
        <w:jc w:val="both"/>
        <w:rPr>
          <w:color w:val="000000" w:themeColor="text1"/>
          <w:lang w:eastAsia="ro-MD"/>
        </w:rPr>
      </w:pPr>
      <w:r w:rsidRPr="000B2CBE">
        <w:rPr>
          <w:noProof/>
          <w:color w:val="000000" w:themeColor="text1"/>
        </w:rPr>
        <w:drawing>
          <wp:inline distT="0" distB="0" distL="0" distR="0" wp14:anchorId="7DAD7DA6" wp14:editId="03BA4072">
            <wp:extent cx="1847850" cy="685800"/>
            <wp:effectExtent l="0" t="0" r="0" b="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p>
    <w:p w14:paraId="78516B5C" w14:textId="77777777" w:rsidR="006F2AB2" w:rsidRPr="000B2CBE" w:rsidRDefault="006F2AB2" w:rsidP="006F2AB2">
      <w:pPr>
        <w:shd w:val="clear" w:color="auto" w:fill="FFFFFF"/>
        <w:spacing w:before="120" w:line="312" w:lineRule="atLeast"/>
        <w:jc w:val="both"/>
        <w:rPr>
          <w:color w:val="000000" w:themeColor="text1"/>
          <w:lang w:val="ro-RO" w:eastAsia="ro-MD"/>
        </w:rPr>
      </w:pPr>
      <w:r w:rsidRPr="000B2CBE">
        <w:rPr>
          <w:color w:val="000000" w:themeColor="text1"/>
          <w:lang w:val="ro-RO" w:eastAsia="ro-MD"/>
        </w:rPr>
        <w:t>unde:</w:t>
      </w:r>
    </w:p>
    <w:tbl>
      <w:tblPr>
        <w:tblW w:w="5000" w:type="pct"/>
        <w:tblCellMar>
          <w:left w:w="0" w:type="dxa"/>
          <w:right w:w="0" w:type="dxa"/>
        </w:tblCellMar>
        <w:tblLook w:val="04A0" w:firstRow="1" w:lastRow="0" w:firstColumn="1" w:lastColumn="0" w:noHBand="0" w:noVBand="1"/>
      </w:tblPr>
      <w:tblGrid>
        <w:gridCol w:w="67"/>
        <w:gridCol w:w="9622"/>
      </w:tblGrid>
      <w:tr w:rsidR="006F2AB2" w:rsidRPr="00274FFD" w14:paraId="64200FE9" w14:textId="77777777" w:rsidTr="003425C4">
        <w:tc>
          <w:tcPr>
            <w:tcW w:w="11" w:type="pct"/>
            <w:hideMark/>
          </w:tcPr>
          <w:p w14:paraId="6690A8D9" w14:textId="77777777" w:rsidR="006F2AB2" w:rsidRPr="000B2CBE" w:rsidRDefault="006F2AB2" w:rsidP="003425C4">
            <w:pPr>
              <w:spacing w:before="195" w:line="312" w:lineRule="atLeast"/>
              <w:rPr>
                <w:i/>
                <w:iCs/>
                <w:color w:val="000000" w:themeColor="text1"/>
                <w:lang w:val="ro-RO" w:eastAsia="ro-MD"/>
              </w:rPr>
            </w:pPr>
            <w:r w:rsidRPr="000B2CBE">
              <w:rPr>
                <w:i/>
                <w:iCs/>
                <w:color w:val="000000" w:themeColor="text1"/>
                <w:lang w:val="ro-RO" w:eastAsia="ro-MD"/>
              </w:rPr>
              <w:t>l</w:t>
            </w:r>
          </w:p>
        </w:tc>
        <w:tc>
          <w:tcPr>
            <w:tcW w:w="4989" w:type="pct"/>
            <w:hideMark/>
          </w:tcPr>
          <w:p w14:paraId="56AA738F" w14:textId="77777777" w:rsidR="006F2AB2" w:rsidRPr="000B2CBE" w:rsidRDefault="006F2AB2" w:rsidP="003425C4">
            <w:pPr>
              <w:spacing w:before="120" w:line="312" w:lineRule="atLeast"/>
              <w:jc w:val="both"/>
              <w:rPr>
                <w:color w:val="000000" w:themeColor="text1"/>
                <w:lang w:val="ro-RO" w:eastAsia="ro-MD"/>
              </w:rPr>
            </w:pPr>
            <w:r w:rsidRPr="000B2CBE">
              <w:rPr>
                <w:color w:val="000000" w:themeColor="text1"/>
                <w:lang w:val="ro-RO" w:eastAsia="ro-MD"/>
              </w:rPr>
              <w:t xml:space="preserve"> = indicele care desemnează toate grupurile distincte de aceleași titluri de valoare și toate tipurile distincte de aceleași mărfuri din cadrul acordului;</w:t>
            </w:r>
          </w:p>
        </w:tc>
      </w:tr>
    </w:tbl>
    <w:p w14:paraId="3D0F4B1E" w14:textId="77777777" w:rsidR="006F2AB2" w:rsidRPr="000B2CBE" w:rsidRDefault="006F2AB2" w:rsidP="006F2AB2">
      <w:pPr>
        <w:shd w:val="clear" w:color="auto" w:fill="FFFFFF"/>
        <w:rPr>
          <w:vanish/>
          <w:color w:val="000000" w:themeColor="text1"/>
          <w:lang w:val="ro-RO" w:eastAsia="ro-MD"/>
        </w:rPr>
      </w:pPr>
    </w:p>
    <w:tbl>
      <w:tblPr>
        <w:tblW w:w="5000" w:type="pct"/>
        <w:tblCellMar>
          <w:left w:w="0" w:type="dxa"/>
          <w:right w:w="0" w:type="dxa"/>
        </w:tblCellMar>
        <w:tblLook w:val="04A0" w:firstRow="1" w:lastRow="0" w:firstColumn="1" w:lastColumn="0" w:noHBand="0" w:noVBand="1"/>
      </w:tblPr>
      <w:tblGrid>
        <w:gridCol w:w="570"/>
        <w:gridCol w:w="9119"/>
      </w:tblGrid>
      <w:tr w:rsidR="006F2AB2" w:rsidRPr="00274FFD" w14:paraId="56204625" w14:textId="77777777" w:rsidTr="003425C4">
        <w:tc>
          <w:tcPr>
            <w:tcW w:w="0" w:type="auto"/>
            <w:hideMark/>
          </w:tcPr>
          <w:p w14:paraId="0EC17FD7" w14:textId="77777777" w:rsidR="006F2AB2" w:rsidRPr="000B2CBE" w:rsidRDefault="006F2AB2" w:rsidP="003425C4">
            <w:pPr>
              <w:spacing w:before="195" w:line="312" w:lineRule="atLeast"/>
              <w:rPr>
                <w:color w:val="000000" w:themeColor="text1"/>
                <w:lang w:val="ro-RO" w:eastAsia="ro-MD"/>
              </w:rPr>
            </w:pPr>
            <w:r w:rsidRPr="000B2CBE">
              <w:rPr>
                <w:noProof/>
                <w:color w:val="000000" w:themeColor="text1"/>
                <w:lang w:val="ro-RO"/>
              </w:rPr>
              <w:lastRenderedPageBreak/>
              <w:drawing>
                <wp:inline distT="0" distB="0" distL="0" distR="0" wp14:anchorId="1B4701B3" wp14:editId="001E3483">
                  <wp:extent cx="361950" cy="276225"/>
                  <wp:effectExtent l="0" t="0" r="0" b="0"/>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0" w:type="auto"/>
            <w:hideMark/>
          </w:tcPr>
          <w:p w14:paraId="30520897" w14:textId="77777777" w:rsidR="006F2AB2" w:rsidRPr="000B2CBE" w:rsidRDefault="006F2AB2" w:rsidP="003425C4">
            <w:pPr>
              <w:spacing w:before="120" w:line="312" w:lineRule="atLeast"/>
              <w:jc w:val="both"/>
              <w:rPr>
                <w:color w:val="000000" w:themeColor="text1"/>
                <w:lang w:val="ro-RO" w:eastAsia="ro-MD"/>
              </w:rPr>
            </w:pPr>
            <w:r w:rsidRPr="000B2CBE">
              <w:rPr>
                <w:color w:val="000000" w:themeColor="text1"/>
                <w:lang w:val="ro-RO" w:eastAsia="ro-MD"/>
              </w:rPr>
              <w:t xml:space="preserve">= poziția netă (pozitivă sau negativă) pe un anumit grup de titluri de valoare </w:t>
            </w:r>
            <w:r w:rsidRPr="000B2CBE">
              <w:rPr>
                <w:i/>
                <w:iCs/>
                <w:color w:val="000000" w:themeColor="text1"/>
                <w:lang w:val="ro-RO" w:eastAsia="ro-MD"/>
              </w:rPr>
              <w:t>l</w:t>
            </w:r>
            <w:r w:rsidRPr="000B2CBE">
              <w:rPr>
                <w:color w:val="000000" w:themeColor="text1"/>
                <w:lang w:val="ro-RO" w:eastAsia="ro-MD"/>
              </w:rPr>
              <w:t xml:space="preserve"> sau pe un anumit tip de mărfuri </w:t>
            </w:r>
            <w:r w:rsidRPr="000B2CBE">
              <w:rPr>
                <w:i/>
                <w:iCs/>
                <w:color w:val="000000" w:themeColor="text1"/>
                <w:lang w:val="ro-RO" w:eastAsia="ro-MD"/>
              </w:rPr>
              <w:t>l</w:t>
            </w:r>
            <w:r w:rsidRPr="000B2CBE">
              <w:rPr>
                <w:color w:val="000000" w:themeColor="text1"/>
                <w:lang w:val="ro-RO" w:eastAsia="ro-MD"/>
              </w:rPr>
              <w:t>, din cadrul acordului, calculată în conformitate cu punctul 69 subpunctul 1);</w:t>
            </w:r>
          </w:p>
        </w:tc>
      </w:tr>
    </w:tbl>
    <w:p w14:paraId="2F2FE99C" w14:textId="77777777" w:rsidR="006F2AB2" w:rsidRPr="000B2CBE" w:rsidRDefault="006F2AB2" w:rsidP="006F2AB2">
      <w:pPr>
        <w:shd w:val="clear" w:color="auto" w:fill="FFFFFF"/>
        <w:rPr>
          <w:vanish/>
          <w:color w:val="000000" w:themeColor="text1"/>
          <w:lang w:val="ro-RO" w:eastAsia="ro-MD"/>
        </w:rPr>
      </w:pPr>
    </w:p>
    <w:tbl>
      <w:tblPr>
        <w:tblW w:w="5000" w:type="pct"/>
        <w:tblCellMar>
          <w:left w:w="0" w:type="dxa"/>
          <w:right w:w="0" w:type="dxa"/>
        </w:tblCellMar>
        <w:tblLook w:val="04A0" w:firstRow="1" w:lastRow="0" w:firstColumn="1" w:lastColumn="0" w:noHBand="0" w:noVBand="1"/>
      </w:tblPr>
      <w:tblGrid>
        <w:gridCol w:w="570"/>
        <w:gridCol w:w="9119"/>
      </w:tblGrid>
      <w:tr w:rsidR="006F2AB2" w:rsidRPr="00274FFD" w14:paraId="55C550DB" w14:textId="77777777" w:rsidTr="003425C4">
        <w:tc>
          <w:tcPr>
            <w:tcW w:w="0" w:type="auto"/>
            <w:hideMark/>
          </w:tcPr>
          <w:p w14:paraId="5C21DC4A" w14:textId="77777777" w:rsidR="006F2AB2" w:rsidRPr="000B2CBE" w:rsidRDefault="006F2AB2" w:rsidP="003425C4">
            <w:pPr>
              <w:spacing w:before="195" w:line="312" w:lineRule="atLeast"/>
              <w:rPr>
                <w:color w:val="000000" w:themeColor="text1"/>
                <w:lang w:val="ro-RO" w:eastAsia="ro-MD"/>
              </w:rPr>
            </w:pPr>
            <w:r w:rsidRPr="000B2CBE">
              <w:rPr>
                <w:noProof/>
                <w:color w:val="000000" w:themeColor="text1"/>
                <w:lang w:val="ro-RO"/>
              </w:rPr>
              <w:drawing>
                <wp:inline distT="0" distB="0" distL="0" distR="0" wp14:anchorId="6DDF2662" wp14:editId="591119F8">
                  <wp:extent cx="361950" cy="276225"/>
                  <wp:effectExtent l="0" t="0" r="0" b="0"/>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0" w:type="auto"/>
            <w:hideMark/>
          </w:tcPr>
          <w:p w14:paraId="1A0CDBD3" w14:textId="77777777" w:rsidR="006F2AB2" w:rsidRPr="000B2CBE" w:rsidRDefault="006F2AB2" w:rsidP="003425C4">
            <w:pPr>
              <w:spacing w:before="120" w:line="312" w:lineRule="atLeast"/>
              <w:jc w:val="both"/>
              <w:rPr>
                <w:color w:val="000000" w:themeColor="text1"/>
                <w:lang w:val="ro-RO" w:eastAsia="ro-MD"/>
              </w:rPr>
            </w:pPr>
            <w:r w:rsidRPr="000B2CBE">
              <w:rPr>
                <w:color w:val="000000" w:themeColor="text1"/>
                <w:lang w:val="ro-RO" w:eastAsia="ro-MD"/>
              </w:rPr>
              <w:t xml:space="preserve">= ajustarea de volatilitate corespunzătoare unui anumit grup de titluri de valoare l sau unui anumit tip de mărfuri </w:t>
            </w:r>
            <w:r w:rsidRPr="000B2CBE">
              <w:rPr>
                <w:i/>
                <w:iCs/>
                <w:color w:val="000000" w:themeColor="text1"/>
                <w:lang w:val="ro-RO" w:eastAsia="ro-MD"/>
              </w:rPr>
              <w:t>l</w:t>
            </w:r>
            <w:r w:rsidRPr="000B2CBE">
              <w:rPr>
                <w:color w:val="000000" w:themeColor="text1"/>
                <w:lang w:val="ro-RO" w:eastAsia="ro-MD"/>
              </w:rPr>
              <w:t>, stabilită în conformitate cu punctul 69 subpunctul 3); semnul </w:t>
            </w:r>
            <w:r w:rsidRPr="000B2CBE">
              <w:rPr>
                <w:noProof/>
                <w:color w:val="000000" w:themeColor="text1"/>
                <w:lang w:val="ro-RO"/>
              </w:rPr>
              <w:drawing>
                <wp:inline distT="0" distB="0" distL="0" distR="0" wp14:anchorId="6C15896A" wp14:editId="776AD8EE">
                  <wp:extent cx="361950" cy="276225"/>
                  <wp:effectExtent l="0" t="0" r="0" b="0"/>
                  <wp:docPr id="25"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B2CBE">
              <w:rPr>
                <w:color w:val="000000" w:themeColor="text1"/>
                <w:lang w:val="ro-RO" w:eastAsia="ro-MD"/>
              </w:rPr>
              <w:t> se stabilește după cum urmează:</w:t>
            </w:r>
          </w:p>
          <w:p w14:paraId="7A59F86D" w14:textId="77777777" w:rsidR="006F2AB2" w:rsidRPr="000B2CBE" w:rsidRDefault="006F2AB2" w:rsidP="003425C4">
            <w:pPr>
              <w:jc w:val="both"/>
              <w:rPr>
                <w:color w:val="000000" w:themeColor="text1"/>
                <w:lang w:val="ro-RO" w:eastAsia="ro-MD"/>
              </w:rPr>
            </w:pPr>
            <w:r w:rsidRPr="000B2CBE">
              <w:rPr>
                <w:color w:val="000000" w:themeColor="text1"/>
                <w:lang w:val="ro-RO" w:eastAsia="ro-MD"/>
              </w:rPr>
              <w:t xml:space="preserve">1) semn pozitiv în cazul în care grupul de titluri de valoare </w:t>
            </w:r>
            <w:r w:rsidRPr="000B2CBE">
              <w:rPr>
                <w:i/>
                <w:iCs/>
                <w:color w:val="000000" w:themeColor="text1"/>
                <w:lang w:val="ro-RO" w:eastAsia="ro-MD"/>
              </w:rPr>
              <w:t>l</w:t>
            </w:r>
            <w:r w:rsidRPr="000B2CBE">
              <w:rPr>
                <w:color w:val="000000" w:themeColor="text1"/>
                <w:lang w:val="ro-RO" w:eastAsia="ro-MD"/>
              </w:rPr>
              <w:t xml:space="preserve"> este dat cu împrumut, vândut cu un acord de răscumpărare sau tranzacționat într-un mod similar cu darea cu împrumut de titluri de valoare sau cu un acord </w:t>
            </w:r>
            <w:proofErr w:type="spellStart"/>
            <w:r w:rsidRPr="000B2CBE">
              <w:rPr>
                <w:color w:val="000000" w:themeColor="text1"/>
                <w:lang w:val="ro-RO" w:eastAsia="ro-MD"/>
              </w:rPr>
              <w:t>repo</w:t>
            </w:r>
            <w:proofErr w:type="spellEnd"/>
            <w:r w:rsidRPr="000B2CBE">
              <w:rPr>
                <w:color w:val="000000" w:themeColor="text1"/>
                <w:lang w:val="ro-RO" w:eastAsia="ro-MD"/>
              </w:rPr>
              <w:t>;</w:t>
            </w:r>
          </w:p>
          <w:p w14:paraId="689C7870" w14:textId="77777777" w:rsidR="006F2AB2" w:rsidRPr="000B2CBE" w:rsidRDefault="006F2AB2" w:rsidP="003425C4">
            <w:pPr>
              <w:jc w:val="both"/>
              <w:rPr>
                <w:color w:val="000000" w:themeColor="text1"/>
                <w:lang w:val="ro-RO" w:eastAsia="ro-MD"/>
              </w:rPr>
            </w:pPr>
            <w:r w:rsidRPr="000B2CBE">
              <w:rPr>
                <w:color w:val="000000" w:themeColor="text1"/>
                <w:lang w:val="ro-RO" w:eastAsia="ro-MD"/>
              </w:rPr>
              <w:t xml:space="preserve">2) semn negativ în cazul în care grupul de titluri de valoare </w:t>
            </w:r>
            <w:r w:rsidRPr="000B2CBE">
              <w:rPr>
                <w:i/>
                <w:iCs/>
                <w:color w:val="000000" w:themeColor="text1"/>
                <w:lang w:val="ro-RO" w:eastAsia="ro-MD"/>
              </w:rPr>
              <w:t>l</w:t>
            </w:r>
            <w:r w:rsidRPr="000B2CBE">
              <w:rPr>
                <w:color w:val="000000" w:themeColor="text1"/>
                <w:lang w:val="ro-RO" w:eastAsia="ro-MD"/>
              </w:rPr>
              <w:t xml:space="preserve"> este luat cu împrumut, achiziționat cu un acord de revânzare sau tranzacționat într-un mod similar cu luarea cu împrumut de titluri de valoare sau cu un acord reverse </w:t>
            </w:r>
            <w:proofErr w:type="spellStart"/>
            <w:r w:rsidRPr="000B2CBE">
              <w:rPr>
                <w:color w:val="000000" w:themeColor="text1"/>
                <w:lang w:val="ro-RO" w:eastAsia="ro-MD"/>
              </w:rPr>
              <w:t>repo</w:t>
            </w:r>
            <w:proofErr w:type="spellEnd"/>
            <w:r w:rsidRPr="000B2CBE">
              <w:rPr>
                <w:color w:val="000000" w:themeColor="text1"/>
                <w:lang w:val="ro-RO" w:eastAsia="ro-MD"/>
              </w:rPr>
              <w:t>;</w:t>
            </w:r>
          </w:p>
        </w:tc>
      </w:tr>
    </w:tbl>
    <w:p w14:paraId="0DBBB82E" w14:textId="77777777" w:rsidR="006F2AB2" w:rsidRPr="000B2CBE" w:rsidRDefault="006F2AB2" w:rsidP="006F2AB2">
      <w:pPr>
        <w:shd w:val="clear" w:color="auto" w:fill="FFFFFF"/>
        <w:rPr>
          <w:vanish/>
          <w:color w:val="000000" w:themeColor="text1"/>
          <w:lang w:val="ro-RO" w:eastAsia="ro-MD"/>
        </w:rPr>
      </w:pPr>
    </w:p>
    <w:tbl>
      <w:tblPr>
        <w:tblW w:w="5000" w:type="pct"/>
        <w:tblCellMar>
          <w:left w:w="0" w:type="dxa"/>
          <w:right w:w="0" w:type="dxa"/>
        </w:tblCellMar>
        <w:tblLook w:val="04A0" w:firstRow="1" w:lastRow="0" w:firstColumn="1" w:lastColumn="0" w:noHBand="0" w:noVBand="1"/>
      </w:tblPr>
      <w:tblGrid>
        <w:gridCol w:w="174"/>
        <w:gridCol w:w="9515"/>
      </w:tblGrid>
      <w:tr w:rsidR="006F2AB2" w:rsidRPr="00274FFD" w14:paraId="74801C05" w14:textId="77777777" w:rsidTr="003425C4">
        <w:tc>
          <w:tcPr>
            <w:tcW w:w="0" w:type="auto"/>
            <w:hideMark/>
          </w:tcPr>
          <w:p w14:paraId="75956F49" w14:textId="77777777" w:rsidR="006F2AB2" w:rsidRPr="000B2CBE" w:rsidRDefault="006F2AB2" w:rsidP="003425C4">
            <w:pPr>
              <w:spacing w:before="195" w:line="312" w:lineRule="atLeast"/>
              <w:rPr>
                <w:b/>
                <w:bCs/>
                <w:color w:val="000000" w:themeColor="text1"/>
                <w:lang w:val="ro-RO" w:eastAsia="ro-MD"/>
              </w:rPr>
            </w:pPr>
            <w:r w:rsidRPr="000B2CBE">
              <w:rPr>
                <w:b/>
                <w:bCs/>
                <w:color w:val="000000" w:themeColor="text1"/>
                <w:lang w:val="ro-RO" w:eastAsia="ro-MD"/>
              </w:rPr>
              <w:t>N</w:t>
            </w:r>
          </w:p>
        </w:tc>
        <w:tc>
          <w:tcPr>
            <w:tcW w:w="0" w:type="auto"/>
            <w:hideMark/>
          </w:tcPr>
          <w:p w14:paraId="00DB34AA" w14:textId="1BA091D6" w:rsidR="006F2AB2" w:rsidRPr="000B2CBE" w:rsidRDefault="006F2AB2" w:rsidP="003425C4">
            <w:pPr>
              <w:spacing w:before="195" w:line="312" w:lineRule="atLeast"/>
              <w:jc w:val="both"/>
              <w:rPr>
                <w:color w:val="000000" w:themeColor="text1"/>
                <w:lang w:val="ro-RO" w:eastAsia="ro-MD"/>
              </w:rPr>
            </w:pPr>
            <w:r w:rsidRPr="000B2CBE">
              <w:rPr>
                <w:color w:val="000000" w:themeColor="text1"/>
                <w:lang w:val="ro-RO" w:eastAsia="ro-MD"/>
              </w:rPr>
              <w:t>= numărul total de grupuri distincte de aceleași titluri de valoare și de tipuri distincte de aceleași mărfuri din cadrul acordului; în scopul acestui calcul, nu se iau în considerare grupurile și tipurile </w:t>
            </w:r>
            <m:oMath>
              <m:sSubSup>
                <m:sSubSupPr>
                  <m:ctrlPr>
                    <w:rPr>
                      <w:rFonts w:ascii="Cambria Math" w:hAnsi="Cambria Math"/>
                      <w:i/>
                      <w:color w:val="000000" w:themeColor="text1"/>
                      <w:lang w:val="ro-RO" w:eastAsia="ro-MD"/>
                    </w:rPr>
                  </m:ctrlPr>
                </m:sSubSupPr>
                <m:e>
                  <m:r>
                    <w:rPr>
                      <w:rFonts w:ascii="Cambria Math" w:hAnsi="Cambria Math"/>
                      <w:color w:val="000000" w:themeColor="text1"/>
                      <w:lang w:val="ro-RO" w:eastAsia="ro-MD"/>
                    </w:rPr>
                    <m:t>E</m:t>
                  </m:r>
                </m:e>
                <m:sub>
                  <m:r>
                    <w:rPr>
                      <w:rFonts w:ascii="Cambria Math" w:hAnsi="Cambria Math"/>
                      <w:color w:val="000000" w:themeColor="text1"/>
                      <w:lang w:val="ro-RO" w:eastAsia="ro-MD"/>
                    </w:rPr>
                    <m:t>l</m:t>
                  </m:r>
                </m:sub>
                <m:sup>
                  <m:r>
                    <w:rPr>
                      <w:rFonts w:ascii="Cambria Math" w:hAnsi="Cambria Math"/>
                      <w:color w:val="000000" w:themeColor="text1"/>
                      <w:lang w:val="ro-RO" w:eastAsia="ro-MD"/>
                    </w:rPr>
                    <m:t>sec</m:t>
                  </m:r>
                </m:sup>
              </m:sSubSup>
            </m:oMath>
            <w:r w:rsidRPr="000B2CBE">
              <w:rPr>
                <w:color w:val="000000" w:themeColor="text1"/>
                <w:lang w:val="ro-RO" w:eastAsia="ro-MD"/>
              </w:rPr>
              <w:t> pentru care</w:t>
            </w:r>
            <w:r w:rsidR="008453ED" w:rsidRPr="000B2CBE">
              <w:rPr>
                <w:color w:val="000000" w:themeColor="text1"/>
                <w:lang w:val="ro-RO" w:eastAsia="ro-MD"/>
              </w:rPr>
              <w:t xml:space="preserve"> </w:t>
            </w:r>
            <m:oMath>
              <m:d>
                <m:dPr>
                  <m:begChr m:val="|"/>
                  <m:endChr m:val="|"/>
                  <m:ctrlPr>
                    <w:rPr>
                      <w:rFonts w:ascii="Cambria Math" w:hAnsi="Cambria Math"/>
                      <w:i/>
                      <w:color w:val="000000" w:themeColor="text1"/>
                      <w:lang w:val="ro-RO" w:eastAsia="ro-MD"/>
                    </w:rPr>
                  </m:ctrlPr>
                </m:dPr>
                <m:e>
                  <m:sSubSup>
                    <m:sSubSupPr>
                      <m:ctrlPr>
                        <w:rPr>
                          <w:rFonts w:ascii="Cambria Math" w:hAnsi="Cambria Math"/>
                          <w:i/>
                          <w:color w:val="000000" w:themeColor="text1"/>
                          <w:lang w:val="ro-RO" w:eastAsia="ro-MD"/>
                        </w:rPr>
                      </m:ctrlPr>
                    </m:sSubSupPr>
                    <m:e>
                      <m:r>
                        <w:rPr>
                          <w:rFonts w:ascii="Cambria Math" w:hAnsi="Cambria Math"/>
                          <w:color w:val="000000" w:themeColor="text1"/>
                          <w:lang w:val="ro-RO" w:eastAsia="ro-MD"/>
                        </w:rPr>
                        <m:t>E</m:t>
                      </m:r>
                    </m:e>
                    <m:sub>
                      <m:r>
                        <w:rPr>
                          <w:rFonts w:ascii="Cambria Math" w:hAnsi="Cambria Math"/>
                          <w:color w:val="000000" w:themeColor="text1"/>
                          <w:lang w:val="ro-RO" w:eastAsia="ro-MD"/>
                        </w:rPr>
                        <m:t>l</m:t>
                      </m:r>
                    </m:sub>
                    <m:sup>
                      <m:r>
                        <w:rPr>
                          <w:rFonts w:ascii="Cambria Math" w:hAnsi="Cambria Math"/>
                          <w:color w:val="000000" w:themeColor="text1"/>
                          <w:lang w:val="ro-RO" w:eastAsia="ro-MD"/>
                        </w:rPr>
                        <m:t>sec</m:t>
                      </m:r>
                    </m:sup>
                  </m:sSubSup>
                </m:e>
              </m:d>
            </m:oMath>
            <w:r w:rsidRPr="000B2CBE">
              <w:rPr>
                <w:color w:val="000000" w:themeColor="text1"/>
                <w:lang w:val="ro-RO" w:eastAsia="ro-MD"/>
              </w:rPr>
              <w:t xml:space="preserve">este mai mică decât  </w:t>
            </w:r>
            <m:oMath>
              <m:f>
                <m:fPr>
                  <m:ctrlPr>
                    <w:rPr>
                      <w:rFonts w:ascii="Cambria Math" w:hAnsi="Cambria Math"/>
                      <w:i/>
                      <w:color w:val="000000" w:themeColor="text1"/>
                      <w:lang w:val="ro-RO" w:eastAsia="ro-MD"/>
                    </w:rPr>
                  </m:ctrlPr>
                </m:fPr>
                <m:num>
                  <m:r>
                    <w:rPr>
                      <w:rFonts w:ascii="Cambria Math" w:hAnsi="Cambria Math"/>
                      <w:color w:val="000000" w:themeColor="text1"/>
                      <w:lang w:val="ro-RO" w:eastAsia="ro-MD"/>
                    </w:rPr>
                    <m:t>1</m:t>
                  </m:r>
                </m:num>
                <m:den>
                  <m:r>
                    <w:rPr>
                      <w:rFonts w:ascii="Cambria Math" w:hAnsi="Cambria Math"/>
                      <w:color w:val="000000" w:themeColor="text1"/>
                      <w:lang w:val="ro-RO" w:eastAsia="ro-MD"/>
                    </w:rPr>
                    <m:t>10</m:t>
                  </m:r>
                </m:den>
              </m:f>
              <m:sSub>
                <m:sSubPr>
                  <m:ctrlPr>
                    <w:rPr>
                      <w:rFonts w:ascii="Cambria Math" w:hAnsi="Cambria Math"/>
                      <w:i/>
                      <w:color w:val="000000" w:themeColor="text1"/>
                      <w:lang w:val="ro-RO" w:eastAsia="ro-MD"/>
                    </w:rPr>
                  </m:ctrlPr>
                </m:sSubPr>
                <m:e>
                  <m:r>
                    <w:rPr>
                      <w:rFonts w:ascii="Cambria Math" w:hAnsi="Cambria Math"/>
                      <w:color w:val="000000" w:themeColor="text1"/>
                      <w:lang w:val="ro-RO" w:eastAsia="ro-MD"/>
                    </w:rPr>
                    <m:t>max</m:t>
                  </m:r>
                </m:e>
                <m:sub>
                  <m:r>
                    <w:rPr>
                      <w:rFonts w:ascii="Cambria Math" w:hAnsi="Cambria Math"/>
                      <w:color w:val="000000" w:themeColor="text1"/>
                      <w:lang w:val="ro-RO" w:eastAsia="ro-MD"/>
                    </w:rPr>
                    <m:t>l</m:t>
                  </m:r>
                </m:sub>
              </m:sSub>
              <m:d>
                <m:dPr>
                  <m:ctrlPr>
                    <w:rPr>
                      <w:rFonts w:ascii="Cambria Math" w:hAnsi="Cambria Math"/>
                      <w:i/>
                      <w:color w:val="000000" w:themeColor="text1"/>
                      <w:lang w:val="ro-RO" w:eastAsia="ro-MD"/>
                    </w:rPr>
                  </m:ctrlPr>
                </m:dPr>
                <m:e>
                  <m:d>
                    <m:dPr>
                      <m:begChr m:val="|"/>
                      <m:endChr m:val="|"/>
                      <m:ctrlPr>
                        <w:rPr>
                          <w:rFonts w:ascii="Cambria Math" w:hAnsi="Cambria Math"/>
                          <w:i/>
                          <w:color w:val="000000" w:themeColor="text1"/>
                          <w:lang w:val="ro-RO" w:eastAsia="ro-MD"/>
                        </w:rPr>
                      </m:ctrlPr>
                    </m:dPr>
                    <m:e>
                      <m:sSubSup>
                        <m:sSubSupPr>
                          <m:ctrlPr>
                            <w:rPr>
                              <w:rFonts w:ascii="Cambria Math" w:hAnsi="Cambria Math"/>
                              <w:i/>
                              <w:color w:val="000000" w:themeColor="text1"/>
                              <w:lang w:val="ro-RO" w:eastAsia="ro-MD"/>
                            </w:rPr>
                          </m:ctrlPr>
                        </m:sSubSupPr>
                        <m:e>
                          <m:r>
                            <w:rPr>
                              <w:rFonts w:ascii="Cambria Math" w:hAnsi="Cambria Math"/>
                              <w:color w:val="000000" w:themeColor="text1"/>
                              <w:lang w:val="ro-RO" w:eastAsia="ro-MD"/>
                            </w:rPr>
                            <m:t>E</m:t>
                          </m:r>
                        </m:e>
                        <m:sub>
                          <m:r>
                            <w:rPr>
                              <w:rFonts w:ascii="Cambria Math" w:hAnsi="Cambria Math"/>
                              <w:color w:val="000000" w:themeColor="text1"/>
                              <w:lang w:val="ro-RO" w:eastAsia="ro-MD"/>
                            </w:rPr>
                            <m:t>l</m:t>
                          </m:r>
                        </m:sub>
                        <m:sup>
                          <m:r>
                            <w:rPr>
                              <w:rFonts w:ascii="Cambria Math" w:hAnsi="Cambria Math"/>
                              <w:color w:val="000000" w:themeColor="text1"/>
                              <w:lang w:val="ro-RO" w:eastAsia="ro-MD"/>
                            </w:rPr>
                            <m:t>sec</m:t>
                          </m:r>
                        </m:sup>
                      </m:sSubSup>
                    </m:e>
                  </m:d>
                </m:e>
              </m:d>
            </m:oMath>
            <w:r w:rsidRPr="000B2CBE">
              <w:rPr>
                <w:color w:val="000000" w:themeColor="text1"/>
                <w:lang w:val="ro-RO" w:eastAsia="ro-MD"/>
              </w:rPr>
              <w:t>;</w:t>
            </w:r>
          </w:p>
        </w:tc>
      </w:tr>
    </w:tbl>
    <w:p w14:paraId="71BFE9D8" w14:textId="77777777" w:rsidR="006F2AB2" w:rsidRPr="000B2CBE" w:rsidRDefault="006F2AB2" w:rsidP="006F2AB2">
      <w:pPr>
        <w:shd w:val="clear" w:color="auto" w:fill="FFFFFF"/>
        <w:rPr>
          <w:vanish/>
          <w:color w:val="000000" w:themeColor="text1"/>
          <w:lang w:val="ro-RO" w:eastAsia="ro-MD"/>
        </w:rPr>
      </w:pPr>
    </w:p>
    <w:tbl>
      <w:tblPr>
        <w:tblW w:w="5000" w:type="pct"/>
        <w:tblCellMar>
          <w:left w:w="0" w:type="dxa"/>
          <w:right w:w="0" w:type="dxa"/>
        </w:tblCellMar>
        <w:tblLook w:val="04A0" w:firstRow="1" w:lastRow="0" w:firstColumn="1" w:lastColumn="0" w:noHBand="0" w:noVBand="1"/>
      </w:tblPr>
      <w:tblGrid>
        <w:gridCol w:w="680"/>
        <w:gridCol w:w="9009"/>
      </w:tblGrid>
      <w:tr w:rsidR="000B2CBE" w:rsidRPr="00274FFD" w14:paraId="3A293CDA" w14:textId="77777777" w:rsidTr="003425C4">
        <w:tc>
          <w:tcPr>
            <w:tcW w:w="0" w:type="auto"/>
            <w:hideMark/>
          </w:tcPr>
          <w:p w14:paraId="6A7AFCC7" w14:textId="77777777" w:rsidR="006F2AB2" w:rsidRPr="000B2CBE" w:rsidRDefault="006F2AB2" w:rsidP="003425C4">
            <w:pPr>
              <w:spacing w:before="195" w:line="312" w:lineRule="atLeast"/>
              <w:rPr>
                <w:b/>
                <w:bCs/>
                <w:color w:val="000000" w:themeColor="text1"/>
                <w:lang w:val="ro-RO" w:eastAsia="ro-MD"/>
              </w:rPr>
            </w:pPr>
            <w:proofErr w:type="spellStart"/>
            <w:r w:rsidRPr="000B2CBE">
              <w:rPr>
                <w:b/>
                <w:bCs/>
                <w:i/>
                <w:iCs/>
                <w:color w:val="000000" w:themeColor="text1"/>
                <w:lang w:val="ro-RO" w:eastAsia="ro-MD"/>
              </w:rPr>
              <w:t>E</w:t>
            </w:r>
            <w:r w:rsidRPr="000B2CBE">
              <w:rPr>
                <w:b/>
                <w:bCs/>
                <w:i/>
                <w:iCs/>
                <w:color w:val="000000" w:themeColor="text1"/>
                <w:vertAlign w:val="subscript"/>
                <w:lang w:val="ro-RO" w:eastAsia="ro-MD"/>
              </w:rPr>
              <w:t>brut</w:t>
            </w:r>
            <w:proofErr w:type="spellEnd"/>
          </w:p>
        </w:tc>
        <w:tc>
          <w:tcPr>
            <w:tcW w:w="0" w:type="auto"/>
            <w:hideMark/>
          </w:tcPr>
          <w:p w14:paraId="0B403B22" w14:textId="77777777" w:rsidR="006F2AB2" w:rsidRPr="000B2CBE" w:rsidRDefault="006F2AB2" w:rsidP="003425C4">
            <w:pPr>
              <w:spacing w:before="120" w:line="312" w:lineRule="atLeast"/>
              <w:jc w:val="both"/>
              <w:rPr>
                <w:color w:val="000000" w:themeColor="text1"/>
                <w:lang w:val="ro-RO" w:eastAsia="ro-MD"/>
              </w:rPr>
            </w:pPr>
            <w:r w:rsidRPr="000B2CBE">
              <w:rPr>
                <w:color w:val="000000" w:themeColor="text1"/>
                <w:lang w:val="ro-RO" w:eastAsia="ro-MD"/>
              </w:rPr>
              <w:t>= expunerea brută a acordului, calculată după cum urmează:</w:t>
            </w:r>
          </w:p>
        </w:tc>
      </w:tr>
    </w:tbl>
    <w:p w14:paraId="5B104532" w14:textId="3EF270E2" w:rsidR="006F2AB2" w:rsidRPr="000B2CBE" w:rsidRDefault="006F2AB2" w:rsidP="006F2AB2">
      <w:pPr>
        <w:spacing w:before="120" w:line="312" w:lineRule="atLeast"/>
        <w:jc w:val="both"/>
        <w:rPr>
          <w:color w:val="000000" w:themeColor="text1"/>
          <w:lang w:val="ro-RO" w:eastAsia="ro-MD"/>
        </w:rPr>
      </w:pPr>
      <w:r w:rsidRPr="000B2CBE">
        <w:rPr>
          <w:noProof/>
          <w:color w:val="000000" w:themeColor="text1"/>
          <w:lang w:val="ro-RO"/>
        </w:rPr>
        <w:drawing>
          <wp:inline distT="0" distB="0" distL="0" distR="0" wp14:anchorId="4E865418" wp14:editId="111F4370">
            <wp:extent cx="1847850" cy="685800"/>
            <wp:effectExtent l="0" t="0" r="0" b="0"/>
            <wp:docPr id="29" name="Picture 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r w:rsidR="008453ED" w:rsidRPr="000B2CBE">
        <w:rPr>
          <w:color w:val="000000" w:themeColor="text1"/>
          <w:lang w:val="ro-RO" w:eastAsia="ro-MD"/>
        </w:rPr>
        <w:t>”</w:t>
      </w:r>
      <w:r w:rsidRPr="000B2CBE">
        <w:rPr>
          <w:color w:val="000000" w:themeColor="text1"/>
          <w:lang w:val="ro-RO" w:eastAsia="ro-MD"/>
        </w:rPr>
        <w:t xml:space="preserve">.  </w:t>
      </w:r>
      <w:r w:rsidRPr="000B2CBE">
        <w:rPr>
          <w:color w:val="000000" w:themeColor="text1"/>
          <w:sz w:val="18"/>
          <w:szCs w:val="18"/>
          <w:lang w:val="ro-RO" w:eastAsia="ro-MD"/>
        </w:rPr>
        <w:t xml:space="preserve"> </w:t>
      </w:r>
    </w:p>
    <w:p w14:paraId="6EBDEAEE" w14:textId="680EDFF6" w:rsidR="00433305" w:rsidRPr="000B2CBE" w:rsidRDefault="006952B7" w:rsidP="00831AF6">
      <w:pPr>
        <w:pStyle w:val="ListParagraph"/>
        <w:numPr>
          <w:ilvl w:val="1"/>
          <w:numId w:val="27"/>
        </w:numPr>
        <w:tabs>
          <w:tab w:val="left" w:pos="567"/>
        </w:tabs>
        <w:spacing w:before="80"/>
        <w:ind w:left="0" w:firstLine="567"/>
        <w:contextualSpacing w:val="0"/>
        <w:jc w:val="both"/>
        <w:rPr>
          <w:color w:val="000000" w:themeColor="text1"/>
          <w:lang w:val="ro-MD"/>
        </w:rPr>
      </w:pPr>
      <w:r>
        <w:rPr>
          <w:color w:val="000000" w:themeColor="text1"/>
          <w:lang w:val="ro-MD"/>
        </w:rPr>
        <w:t>P</w:t>
      </w:r>
      <w:r w:rsidR="00433305" w:rsidRPr="000B2CBE">
        <w:rPr>
          <w:color w:val="000000" w:themeColor="text1"/>
          <w:lang w:val="ro-MD"/>
        </w:rPr>
        <w:t>unctul 71</w:t>
      </w:r>
      <w:r>
        <w:rPr>
          <w:color w:val="000000" w:themeColor="text1"/>
          <w:lang w:val="ro-MD"/>
        </w:rPr>
        <w:t>,</w:t>
      </w:r>
      <w:r w:rsidR="005D6C7C" w:rsidRPr="000B2CBE">
        <w:rPr>
          <w:color w:val="000000" w:themeColor="text1"/>
          <w:lang w:val="ro-MD"/>
        </w:rPr>
        <w:t xml:space="preserve"> după cuvintele „</w:t>
      </w:r>
      <w:r w:rsidR="0073362D" w:rsidRPr="000B2CBE">
        <w:rPr>
          <w:color w:val="000000" w:themeColor="text1"/>
          <w:lang w:val="ro-RO" w:eastAsia="ro-MD"/>
        </w:rPr>
        <w:t>valorilor ponderate la risc ale expunerilor</w:t>
      </w:r>
      <w:r>
        <w:rPr>
          <w:color w:val="000000" w:themeColor="text1"/>
          <w:lang w:val="ro-RO" w:eastAsia="ro-MD"/>
        </w:rPr>
        <w:t>”</w:t>
      </w:r>
      <w:r w:rsidR="0073362D" w:rsidRPr="000B2CBE">
        <w:rPr>
          <w:color w:val="000000" w:themeColor="text1"/>
          <w:lang w:val="ro-RO" w:eastAsia="ro-MD"/>
        </w:rPr>
        <w:t xml:space="preserve"> se completează cu cuvintele „și a cuantumurilor pierderilor așteptate”, iar la final se completează cu cuvintele „</w:t>
      </w:r>
      <w:r w:rsidR="0073362D" w:rsidRPr="0023120D">
        <w:rPr>
          <w:color w:val="000000" w:themeColor="text1"/>
          <w:lang w:val="ro-RO" w:eastAsia="ro-MD"/>
        </w:rPr>
        <w:t>sau actului normativ al Băncii Naționale a Moldovei aferent</w:t>
      </w:r>
      <w:r w:rsidR="0073362D" w:rsidRPr="000B2CBE">
        <w:rPr>
          <w:color w:val="000000" w:themeColor="text1"/>
          <w:lang w:val="ro-RO" w:eastAsia="ro-MD"/>
        </w:rPr>
        <w:t xml:space="preserve"> tratamentului riscului de credit pentru bănci potrivit abordării IRB.”.</w:t>
      </w:r>
    </w:p>
    <w:p w14:paraId="02E5FEBB" w14:textId="5D182077" w:rsidR="00831AF6" w:rsidRPr="000B2CBE" w:rsidRDefault="00461AD5" w:rsidP="00831AF6">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Capitolul VIII se completează cu secțiunea 2</w:t>
      </w:r>
      <w:r w:rsidRPr="000B2CBE">
        <w:rPr>
          <w:color w:val="000000" w:themeColor="text1"/>
          <w:vertAlign w:val="superscript"/>
          <w:lang w:val="ro-MD"/>
        </w:rPr>
        <w:t>1</w:t>
      </w:r>
      <w:r w:rsidRPr="000B2CBE">
        <w:rPr>
          <w:color w:val="000000" w:themeColor="text1"/>
          <w:lang w:val="ro-MD"/>
        </w:rPr>
        <w:t xml:space="preserve"> cu </w:t>
      </w:r>
      <w:r w:rsidR="007B7B46" w:rsidRPr="000B2CBE">
        <w:rPr>
          <w:color w:val="000000" w:themeColor="text1"/>
          <w:lang w:val="ro-MD"/>
        </w:rPr>
        <w:t>următorul cuprins:</w:t>
      </w:r>
    </w:p>
    <w:p w14:paraId="12A1E68E" w14:textId="77777777" w:rsidR="00064BD9" w:rsidRPr="000B2CBE" w:rsidRDefault="007B7B46" w:rsidP="00064BD9">
      <w:pPr>
        <w:jc w:val="center"/>
        <w:rPr>
          <w:color w:val="000000" w:themeColor="text1"/>
          <w:lang w:val="ro-RO" w:eastAsia="ro-MD"/>
        </w:rPr>
      </w:pPr>
      <w:r w:rsidRPr="000B2CBE">
        <w:rPr>
          <w:color w:val="000000" w:themeColor="text1"/>
          <w:lang w:val="ro-MD"/>
        </w:rPr>
        <w:t>„</w:t>
      </w:r>
      <w:r w:rsidR="00064BD9" w:rsidRPr="000B2CBE">
        <w:rPr>
          <w:b/>
          <w:bCs/>
          <w:i/>
          <w:iCs/>
          <w:color w:val="000000" w:themeColor="text1"/>
          <w:lang w:val="ro-RO" w:eastAsia="ro-MD"/>
        </w:rPr>
        <w:t>Secțiunea a 2</w:t>
      </w:r>
      <w:r w:rsidR="00064BD9" w:rsidRPr="000B2CBE">
        <w:rPr>
          <w:b/>
          <w:bCs/>
          <w:i/>
          <w:iCs/>
          <w:color w:val="000000" w:themeColor="text1"/>
          <w:vertAlign w:val="superscript"/>
          <w:lang w:val="ro-RO" w:eastAsia="ro-MD"/>
        </w:rPr>
        <w:t>1</w:t>
      </w:r>
      <w:r w:rsidR="00064BD9" w:rsidRPr="000B2CBE">
        <w:rPr>
          <w:b/>
          <w:bCs/>
          <w:i/>
          <w:iCs/>
          <w:color w:val="000000" w:themeColor="text1"/>
          <w:lang w:val="ro-RO" w:eastAsia="ro-MD"/>
        </w:rPr>
        <w:t>-a</w:t>
      </w:r>
    </w:p>
    <w:p w14:paraId="68168371" w14:textId="77777777" w:rsidR="00064BD9" w:rsidRPr="000B2CBE" w:rsidRDefault="00064BD9" w:rsidP="00064BD9">
      <w:pPr>
        <w:jc w:val="center"/>
        <w:rPr>
          <w:color w:val="000000" w:themeColor="text1"/>
          <w:lang w:val="ro-RO" w:eastAsia="ro-MD"/>
        </w:rPr>
      </w:pPr>
      <w:r w:rsidRPr="000B2CBE">
        <w:rPr>
          <w:b/>
          <w:bCs/>
          <w:i/>
          <w:iCs/>
          <w:color w:val="000000" w:themeColor="text1"/>
          <w:lang w:val="ro-RO" w:eastAsia="ro-MD"/>
        </w:rPr>
        <w:t>Utilizarea abordării bazate pe modele interne în cazul acordurilor-cadru de compensare</w:t>
      </w:r>
    </w:p>
    <w:p w14:paraId="42BD662F" w14:textId="36DDDCD7" w:rsidR="00064BD9" w:rsidRPr="000B2CBE" w:rsidRDefault="00064BD9" w:rsidP="00064BD9">
      <w:pPr>
        <w:shd w:val="clear" w:color="auto" w:fill="FFFFFF"/>
        <w:jc w:val="both"/>
        <w:rPr>
          <w:color w:val="000000" w:themeColor="text1"/>
          <w:lang w:val="ro-RO" w:eastAsia="ro-MD"/>
        </w:rPr>
      </w:pPr>
      <w:r w:rsidRPr="000B2CBE">
        <w:rPr>
          <w:b/>
          <w:bCs/>
          <w:color w:val="000000" w:themeColor="text1"/>
          <w:lang w:val="ro-RO" w:eastAsia="ro-MD"/>
        </w:rPr>
        <w:t>72</w:t>
      </w:r>
      <w:r w:rsidRPr="000B2CBE">
        <w:rPr>
          <w:b/>
          <w:bCs/>
          <w:color w:val="000000" w:themeColor="text1"/>
          <w:vertAlign w:val="superscript"/>
          <w:lang w:val="ro-RO" w:eastAsia="ro-MD"/>
        </w:rPr>
        <w:t>1</w:t>
      </w:r>
      <w:r w:rsidRPr="000B2CBE">
        <w:rPr>
          <w:b/>
          <w:bCs/>
          <w:color w:val="000000" w:themeColor="text1"/>
          <w:lang w:val="ro-RO" w:eastAsia="ro-MD"/>
        </w:rPr>
        <w:t>.</w:t>
      </w:r>
      <w:r w:rsidRPr="000B2CBE">
        <w:rPr>
          <w:color w:val="000000" w:themeColor="text1"/>
          <w:lang w:val="ro-RO" w:eastAsia="ro-MD"/>
        </w:rPr>
        <w:t xml:space="preserve"> În scopul calculării valorilor ponderate la risc ale expunerilor și a valorilor pierderilor așteptate pentru operațiunile de finanțare prin instrumente financiare sau pentru alte operațiuni ajustate la condițiile pieței de capital, altele decât tranzacțiile cu instrumente financiare derivate acoperite de un acord-cadru de compensare eligibil care îndeplinește cerințele aferente compensării contractuale prevăzute în </w:t>
      </w:r>
      <w:r w:rsidR="0027791D">
        <w:rPr>
          <w:color w:val="000000" w:themeColor="text1"/>
          <w:lang w:val="ro-RO" w:eastAsia="ro-MD"/>
        </w:rPr>
        <w:t>Regulamentul nr.220/2025</w:t>
      </w:r>
      <w:r w:rsidRPr="000B2CBE">
        <w:rPr>
          <w:color w:val="000000" w:themeColor="text1"/>
          <w:lang w:val="ro-RO" w:eastAsia="ro-MD"/>
        </w:rPr>
        <w:t>, o bancă poate calcula valoarea ajustată integral a expunerii (E*) acordului utilizând abordarea bazată pe modele interne, dacă îndeplinește condițiile prevăzute la punctul 72</w:t>
      </w:r>
      <w:r w:rsidRPr="000B2CBE">
        <w:rPr>
          <w:color w:val="000000" w:themeColor="text1"/>
          <w:vertAlign w:val="superscript"/>
          <w:lang w:val="ro-RO" w:eastAsia="ro-MD"/>
        </w:rPr>
        <w:t>2</w:t>
      </w:r>
      <w:r w:rsidRPr="000B2CBE">
        <w:rPr>
          <w:color w:val="000000" w:themeColor="text1"/>
          <w:lang w:val="ro-RO" w:eastAsia="ro-MD"/>
        </w:rPr>
        <w:t>.</w:t>
      </w:r>
    </w:p>
    <w:p w14:paraId="7705F4A2" w14:textId="77777777" w:rsidR="00064BD9" w:rsidRPr="000B2CBE" w:rsidRDefault="00064BD9" w:rsidP="00064BD9">
      <w:pPr>
        <w:shd w:val="clear" w:color="auto" w:fill="FFFFFF"/>
        <w:jc w:val="both"/>
        <w:rPr>
          <w:color w:val="000000" w:themeColor="text1"/>
          <w:lang w:val="ro-RO" w:eastAsia="ro-MD"/>
        </w:rPr>
      </w:pPr>
      <w:r w:rsidRPr="000B2CBE">
        <w:rPr>
          <w:b/>
          <w:bCs/>
          <w:color w:val="000000" w:themeColor="text1"/>
          <w:lang w:val="ro-RO" w:eastAsia="ro-MD"/>
        </w:rPr>
        <w:t>72</w:t>
      </w:r>
      <w:r w:rsidRPr="000B2CBE">
        <w:rPr>
          <w:b/>
          <w:bCs/>
          <w:color w:val="000000" w:themeColor="text1"/>
          <w:vertAlign w:val="superscript"/>
          <w:lang w:val="ro-RO" w:eastAsia="ro-MD"/>
        </w:rPr>
        <w:t>2</w:t>
      </w:r>
      <w:r w:rsidRPr="000B2CBE">
        <w:rPr>
          <w:b/>
          <w:bCs/>
          <w:color w:val="000000" w:themeColor="text1"/>
          <w:lang w:val="ro-RO" w:eastAsia="ro-MD"/>
        </w:rPr>
        <w:t>.</w:t>
      </w:r>
      <w:r w:rsidRPr="000B2CBE">
        <w:rPr>
          <w:color w:val="000000" w:themeColor="text1"/>
          <w:lang w:val="ro-RO" w:eastAsia="ro-MD"/>
        </w:rPr>
        <w:t> Banca poate utiliza abordarea bazată pe modele interne dacă sunt îndeplinite cumulativ următoarele condiții:</w:t>
      </w:r>
    </w:p>
    <w:p w14:paraId="3A86E9B5" w14:textId="77777777"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1) banca utilizează această abordare numai pentru expunerile pentru care valorile ponderate la risc ale expunerilor sunt calculate conform abordării IRB prevăzute în actul normativ al Băncii Naționale a Moldovei aferent tratamentului riscului de credit pentru bănci potrivit abordării bazate pe modele interne de rating;</w:t>
      </w:r>
    </w:p>
    <w:p w14:paraId="64C08C29" w14:textId="42F64797"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2) banca primește aprobarea de a utiliza această abordare din partea Băncii Naționale a Moldovei.</w:t>
      </w:r>
    </w:p>
    <w:p w14:paraId="49CDDEB4" w14:textId="5F41F1F7" w:rsidR="00064BD9" w:rsidRPr="000B2CBE" w:rsidRDefault="00064BD9" w:rsidP="00064BD9">
      <w:pPr>
        <w:shd w:val="clear" w:color="auto" w:fill="FFFFFF"/>
        <w:jc w:val="both"/>
        <w:rPr>
          <w:color w:val="000000" w:themeColor="text1"/>
          <w:lang w:val="ro-RO" w:eastAsia="ro-MD"/>
        </w:rPr>
      </w:pPr>
      <w:r w:rsidRPr="000B2CBE">
        <w:rPr>
          <w:b/>
          <w:bCs/>
          <w:color w:val="000000" w:themeColor="text1"/>
          <w:lang w:val="ro-RO" w:eastAsia="ro-MD"/>
        </w:rPr>
        <w:lastRenderedPageBreak/>
        <w:t>72</w:t>
      </w:r>
      <w:r w:rsidRPr="000B2CBE">
        <w:rPr>
          <w:b/>
          <w:bCs/>
          <w:color w:val="000000" w:themeColor="text1"/>
          <w:vertAlign w:val="superscript"/>
          <w:lang w:val="ro-RO" w:eastAsia="ro-MD"/>
        </w:rPr>
        <w:t>3</w:t>
      </w:r>
      <w:r w:rsidRPr="000B2CBE">
        <w:rPr>
          <w:b/>
          <w:bCs/>
          <w:color w:val="000000" w:themeColor="text1"/>
          <w:lang w:val="ro-RO" w:eastAsia="ro-MD"/>
        </w:rPr>
        <w:t>.</w:t>
      </w:r>
      <w:r w:rsidRPr="000B2CBE">
        <w:rPr>
          <w:color w:val="000000" w:themeColor="text1"/>
          <w:lang w:val="ro-RO" w:eastAsia="ro-MD"/>
        </w:rPr>
        <w:t xml:space="preserve"> O bancă care utilizează o abordare bazată pe modele interne utilizează această abordare pentru toate </w:t>
      </w:r>
      <w:proofErr w:type="spellStart"/>
      <w:r w:rsidRPr="000B2CBE">
        <w:rPr>
          <w:color w:val="000000" w:themeColor="text1"/>
          <w:lang w:val="ro-RO" w:eastAsia="ro-MD"/>
        </w:rPr>
        <w:t>contrapărțile</w:t>
      </w:r>
      <w:proofErr w:type="spellEnd"/>
      <w:r w:rsidRPr="000B2CBE">
        <w:rPr>
          <w:color w:val="000000" w:themeColor="text1"/>
          <w:lang w:val="ro-RO" w:eastAsia="ro-MD"/>
        </w:rPr>
        <w:t xml:space="preserve"> și titlurile de valoare, cu excepția portofoliilor nesemnificative, pentru care poate utiliza abordarea bazată pe ajustări de volatilitate reglementate prevăzută la punctele 68-72.</w:t>
      </w:r>
    </w:p>
    <w:p w14:paraId="79E5891C" w14:textId="77777777" w:rsidR="00064BD9" w:rsidRPr="000B2CBE" w:rsidRDefault="00064BD9" w:rsidP="00064BD9">
      <w:pPr>
        <w:shd w:val="clear" w:color="auto" w:fill="FFFFFF"/>
        <w:jc w:val="both"/>
        <w:rPr>
          <w:color w:val="000000" w:themeColor="text1"/>
          <w:lang w:val="ro-RO" w:eastAsia="ro-MD"/>
        </w:rPr>
      </w:pPr>
      <w:r w:rsidRPr="000B2CBE">
        <w:rPr>
          <w:b/>
          <w:bCs/>
          <w:color w:val="000000" w:themeColor="text1"/>
          <w:lang w:val="ro-RO" w:eastAsia="ro-MD"/>
        </w:rPr>
        <w:t>72</w:t>
      </w:r>
      <w:r w:rsidRPr="000B2CBE">
        <w:rPr>
          <w:b/>
          <w:bCs/>
          <w:color w:val="000000" w:themeColor="text1"/>
          <w:vertAlign w:val="superscript"/>
          <w:lang w:val="ro-RO" w:eastAsia="ro-MD"/>
        </w:rPr>
        <w:t>4</w:t>
      </w:r>
      <w:r w:rsidRPr="000B2CBE">
        <w:rPr>
          <w:b/>
          <w:bCs/>
          <w:color w:val="000000" w:themeColor="text1"/>
          <w:lang w:val="ro-RO" w:eastAsia="ro-MD"/>
        </w:rPr>
        <w:t>.</w:t>
      </w:r>
      <w:r w:rsidRPr="000B2CBE">
        <w:rPr>
          <w:color w:val="000000" w:themeColor="text1"/>
          <w:lang w:val="ro-RO" w:eastAsia="ro-MD"/>
        </w:rPr>
        <w:t xml:space="preserve"> Banca Națională a Moldovei permite unei bănci să utilizeze o abordare bazată pe modele interne numai dacă au dovezi satisfăcătoare ale faptului că sistemul folosit de bancă pentru gestionarea riscurilor decurgând din tranzacțiile acoperite de acordul-cadru de compensare este solid din punct de vedere conceptual și aplicat corect și dacă sunt îndeplinite următoarele cerințe calitative:</w:t>
      </w:r>
    </w:p>
    <w:p w14:paraId="75CA02AF" w14:textId="1E5C6EB8"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1) modelul intern de măsurare a riscurilor utilizat pentru calcularea volatilității potențiale a prețurilor tranzacțiilor este strâns integrat în procesul zilnic de gestionare a riscurilor și servește drept bază pentru raportarea expunerilor la risc către conducerea superioară a băncii;</w:t>
      </w:r>
    </w:p>
    <w:p w14:paraId="61D5FC2B" w14:textId="77777777"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2) banca dispune de o unitate de control al riscurilor care îndeplinește cumulativ următoarele cerințe:</w:t>
      </w:r>
    </w:p>
    <w:p w14:paraId="6937DC8E" w14:textId="77777777"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a) este independentă de unitățile care derulează tranzacții și raportează direct conducerii superioare;</w:t>
      </w:r>
    </w:p>
    <w:p w14:paraId="1F1512BF" w14:textId="77777777"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b) răspunde de conceperea și implementarea sistemului de gestionare a riscurilor al băncii;</w:t>
      </w:r>
    </w:p>
    <w:p w14:paraId="067CF717" w14:textId="06232533"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c) elaborează și analizează rapoarte zilnice cu privire la rezultatele modelului de măsurare a riscurilor și la măsurile adecvate care trebuie luate în privința limitelor pozițiilor;</w:t>
      </w:r>
    </w:p>
    <w:p w14:paraId="031FEEB2" w14:textId="62675836"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3) rapoartele zilnice elaborate de unitatea de control al riscurilor sunt analizate de către un nivel al conducerii care are suficientă autoritate pentru a impune reduceri ale pozițiilor luate și ale expunerii globale la risc;</w:t>
      </w:r>
    </w:p>
    <w:p w14:paraId="7B14E51F" w14:textId="26E5A485"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4) banca dispune, în cadrul unității de control al riscurilor, de suficient personal competent pentru utilizarea modelelor sofisticate;</w:t>
      </w:r>
    </w:p>
    <w:p w14:paraId="6BA6DAE3" w14:textId="7BEA5217"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5) banca a stabilit proceduri pentru monitorizarea și asigurarea respectării unui set formalizat de politici și controale interne privind funcționarea generală a sistemului de măsurare a riscurilor;</w:t>
      </w:r>
    </w:p>
    <w:p w14:paraId="7B281459" w14:textId="061B37F2" w:rsidR="00064BD9" w:rsidRPr="000B2CBE" w:rsidRDefault="00A3547E" w:rsidP="00064BD9">
      <w:pPr>
        <w:shd w:val="clear" w:color="auto" w:fill="FFFFFF"/>
        <w:ind w:firstLine="567"/>
        <w:jc w:val="both"/>
        <w:rPr>
          <w:color w:val="000000" w:themeColor="text1"/>
          <w:lang w:val="ro-RO" w:eastAsia="ro-MD"/>
        </w:rPr>
      </w:pPr>
      <w:r w:rsidRPr="000B2CBE">
        <w:rPr>
          <w:color w:val="000000" w:themeColor="text1"/>
          <w:lang w:val="ro-RO" w:eastAsia="ro-MD"/>
        </w:rPr>
        <w:t xml:space="preserve">6) modelele băncii au un istoric care </w:t>
      </w:r>
      <w:r w:rsidR="00064BD9" w:rsidRPr="000B2CBE">
        <w:rPr>
          <w:color w:val="000000" w:themeColor="text1"/>
          <w:lang w:val="ro-RO" w:eastAsia="ro-MD"/>
        </w:rPr>
        <w:t>arată o acuratețe rezonabilă în măsurarea riscurilor, demonstrată prin testarea ulterioară a rezultatelor acestora, pentru care se utilizează date aferente cel puțin unui an;</w:t>
      </w:r>
    </w:p>
    <w:p w14:paraId="4BA18B19" w14:textId="685B988E"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7) banca desfășoară în mod frecvent un program riguros de simulare de criză, iar rezultatele acestor teste sunt examinate de către conducerea superioară și se reflectă în politicile și în limitele pe care aceasta le stabilește;</w:t>
      </w:r>
    </w:p>
    <w:p w14:paraId="0F622629" w14:textId="00182A6D"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8) banca efectuează, în cadrul procesului său periodic de audit intern, o reexaminare independentă a sistemului de măsurare a riscurilor. Această reexaminare include atât activitatea unităților care derulează tranzacții, cât și pe cea a unității independente de control al riscurilor;</w:t>
      </w:r>
    </w:p>
    <w:p w14:paraId="435EB1D6" w14:textId="61E4523E"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9) banca efectuează o reexaminare a sistemului său de gestionare a riscurilor, cel puțin o dată pe an;</w:t>
      </w:r>
    </w:p>
    <w:p w14:paraId="22D92866" w14:textId="7721026E"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10) modelul intern îndeplinește cerințele privind integritatea procesului de modelare și cerințele de validare stabilite în Regulamentul nr.220/2025.</w:t>
      </w:r>
    </w:p>
    <w:p w14:paraId="7FEF99BB" w14:textId="3BCF6554" w:rsidR="00064BD9" w:rsidRPr="000B2CBE" w:rsidRDefault="00064BD9" w:rsidP="00064BD9">
      <w:pPr>
        <w:shd w:val="clear" w:color="auto" w:fill="FFFFFF"/>
        <w:jc w:val="both"/>
        <w:rPr>
          <w:color w:val="000000" w:themeColor="text1"/>
          <w:lang w:val="ro-RO" w:eastAsia="ro-MD"/>
        </w:rPr>
      </w:pPr>
      <w:r w:rsidRPr="000B2CBE">
        <w:rPr>
          <w:b/>
          <w:bCs/>
          <w:color w:val="000000" w:themeColor="text1"/>
          <w:lang w:val="ro-RO" w:eastAsia="ro-MD"/>
        </w:rPr>
        <w:t>72</w:t>
      </w:r>
      <w:r w:rsidRPr="000B2CBE">
        <w:rPr>
          <w:b/>
          <w:bCs/>
          <w:color w:val="000000" w:themeColor="text1"/>
          <w:vertAlign w:val="superscript"/>
          <w:lang w:val="ro-RO" w:eastAsia="ro-MD"/>
        </w:rPr>
        <w:t>5</w:t>
      </w:r>
      <w:r w:rsidRPr="000B2CBE">
        <w:rPr>
          <w:b/>
          <w:bCs/>
          <w:color w:val="000000" w:themeColor="text1"/>
          <w:lang w:val="ro-RO" w:eastAsia="ro-MD"/>
        </w:rPr>
        <w:t>.</w:t>
      </w:r>
      <w:r w:rsidRPr="000B2CBE">
        <w:rPr>
          <w:color w:val="000000" w:themeColor="text1"/>
          <w:lang w:val="ro-RO" w:eastAsia="ro-MD"/>
        </w:rPr>
        <w:t xml:space="preserve"> Modelul intern de măsurare a riscurilor al unei bănci trebuie să cuprindă un număr suficient de factori de risc pentru a reflecta toate riscurile de preț semnificative.</w:t>
      </w:r>
    </w:p>
    <w:p w14:paraId="25E9A27B" w14:textId="6ED3255D" w:rsidR="00064BD9" w:rsidRPr="000B2CBE" w:rsidRDefault="00064BD9" w:rsidP="00064BD9">
      <w:pPr>
        <w:shd w:val="clear" w:color="auto" w:fill="FFFFFF"/>
        <w:spacing w:line="312" w:lineRule="atLeast"/>
        <w:jc w:val="both"/>
        <w:rPr>
          <w:color w:val="000000" w:themeColor="text1"/>
          <w:lang w:val="ro-RO" w:eastAsia="ro-MD"/>
        </w:rPr>
      </w:pPr>
      <w:r w:rsidRPr="000B2CBE">
        <w:rPr>
          <w:b/>
          <w:bCs/>
          <w:color w:val="000000" w:themeColor="text1"/>
          <w:lang w:val="ro-RO" w:eastAsia="ro-MD"/>
        </w:rPr>
        <w:t>72</w:t>
      </w:r>
      <w:r w:rsidRPr="000B2CBE">
        <w:rPr>
          <w:b/>
          <w:bCs/>
          <w:color w:val="000000" w:themeColor="text1"/>
          <w:vertAlign w:val="superscript"/>
          <w:lang w:val="ro-RO" w:eastAsia="ro-MD"/>
        </w:rPr>
        <w:t>6</w:t>
      </w:r>
      <w:r w:rsidRPr="000B2CBE">
        <w:rPr>
          <w:b/>
          <w:bCs/>
          <w:color w:val="000000" w:themeColor="text1"/>
          <w:lang w:val="ro-RO" w:eastAsia="ro-MD"/>
        </w:rPr>
        <w:t>.</w:t>
      </w:r>
      <w:r w:rsidRPr="000B2CBE">
        <w:rPr>
          <w:color w:val="000000" w:themeColor="text1"/>
          <w:lang w:val="ro-RO" w:eastAsia="ro-MD"/>
        </w:rPr>
        <w:t xml:space="preserve"> Banca poate utiliza corelații empirice în cadrul categoriilor de risc și între categoriile de risc, dacă sistemul său de măsurare a corelațiilor este solid și este aplicat corect.</w:t>
      </w:r>
    </w:p>
    <w:p w14:paraId="0F0B12CA" w14:textId="77777777" w:rsidR="00064BD9" w:rsidRPr="000B2CBE" w:rsidRDefault="00064BD9" w:rsidP="00064BD9">
      <w:pPr>
        <w:shd w:val="clear" w:color="auto" w:fill="FFFFFF"/>
        <w:jc w:val="both"/>
        <w:rPr>
          <w:color w:val="000000" w:themeColor="text1"/>
          <w:lang w:val="ro-RO" w:eastAsia="ro-MD"/>
        </w:rPr>
      </w:pPr>
      <w:r w:rsidRPr="000B2CBE">
        <w:rPr>
          <w:b/>
          <w:bCs/>
          <w:color w:val="000000" w:themeColor="text1"/>
          <w:lang w:val="ro-RO" w:eastAsia="ro-MD"/>
        </w:rPr>
        <w:t>72</w:t>
      </w:r>
      <w:r w:rsidRPr="000B2CBE">
        <w:rPr>
          <w:b/>
          <w:bCs/>
          <w:color w:val="000000" w:themeColor="text1"/>
          <w:vertAlign w:val="superscript"/>
          <w:lang w:val="ro-RO" w:eastAsia="ro-MD"/>
        </w:rPr>
        <w:t>7</w:t>
      </w:r>
      <w:r w:rsidRPr="000B2CBE">
        <w:rPr>
          <w:b/>
          <w:bCs/>
          <w:color w:val="000000" w:themeColor="text1"/>
          <w:lang w:val="ro-RO" w:eastAsia="ro-MD"/>
        </w:rPr>
        <w:t>.</w:t>
      </w:r>
      <w:r w:rsidRPr="000B2CBE">
        <w:rPr>
          <w:color w:val="000000" w:themeColor="text1"/>
          <w:lang w:val="ro-RO" w:eastAsia="ro-MD"/>
        </w:rPr>
        <w:t xml:space="preserve"> Băncile care utilizează abordarea bazată pe modele interne calculează E* conform următoarei formule:</w:t>
      </w:r>
    </w:p>
    <w:p w14:paraId="36DC9B83" w14:textId="77777777" w:rsidR="00064BD9" w:rsidRPr="000B2CBE" w:rsidRDefault="00000000" w:rsidP="00064BD9">
      <w:pPr>
        <w:shd w:val="clear" w:color="auto" w:fill="FFFFFF"/>
        <w:spacing w:before="120" w:line="312" w:lineRule="atLeast"/>
        <w:jc w:val="both"/>
        <w:rPr>
          <w:i/>
          <w:color w:val="000000" w:themeColor="text1"/>
          <w:lang w:val="ro-RO" w:eastAsia="ro-MD"/>
        </w:rPr>
      </w:pPr>
      <m:oMathPara>
        <m:oMath>
          <m:sSup>
            <m:sSupPr>
              <m:ctrlPr>
                <w:rPr>
                  <w:rFonts w:ascii="Cambria Math" w:hAnsi="Cambria Math"/>
                  <w:b/>
                  <w:bCs/>
                  <w:i/>
                  <w:color w:val="000000" w:themeColor="text1"/>
                  <w:lang w:val="ro-RO" w:eastAsia="ro-MD"/>
                </w:rPr>
              </m:ctrlPr>
            </m:sSupPr>
            <m:e>
              <m:r>
                <m:rPr>
                  <m:sty m:val="bi"/>
                </m:rPr>
                <w:rPr>
                  <w:rFonts w:ascii="Cambria Math" w:hAnsi="Cambria Math"/>
                  <w:color w:val="000000" w:themeColor="text1"/>
                  <w:lang w:val="ro-RO" w:eastAsia="ro-MD"/>
                </w:rPr>
                <m:t>E</m:t>
              </m:r>
            </m:e>
            <m:sup>
              <m:r>
                <m:rPr>
                  <m:sty m:val="bi"/>
                </m:rPr>
                <w:rPr>
                  <w:rFonts w:ascii="Cambria Math" w:hAnsi="Cambria Math"/>
                  <w:color w:val="000000" w:themeColor="text1"/>
                  <w:lang w:val="ro-RO" w:eastAsia="ro-MD"/>
                </w:rPr>
                <m:t>*</m:t>
              </m:r>
            </m:sup>
          </m:sSup>
          <m:r>
            <w:rPr>
              <w:rFonts w:ascii="Cambria Math" w:hAnsi="Cambria Math"/>
              <w:color w:val="000000" w:themeColor="text1"/>
              <w:lang w:val="ro-RO" w:eastAsia="ro-MD"/>
            </w:rPr>
            <m:t xml:space="preserve"> = max </m:t>
          </m:r>
          <m:d>
            <m:dPr>
              <m:begChr m:val="{"/>
              <m:endChr m:val="}"/>
              <m:ctrlPr>
                <w:rPr>
                  <w:rFonts w:ascii="Cambria Math" w:hAnsi="Cambria Math"/>
                  <w:i/>
                  <w:color w:val="000000" w:themeColor="text1"/>
                  <w:lang w:val="ro-RO" w:eastAsia="ro-MD"/>
                </w:rPr>
              </m:ctrlPr>
            </m:dPr>
            <m:e>
              <m:r>
                <w:rPr>
                  <w:rFonts w:ascii="Cambria Math" w:hAnsi="Cambria Math"/>
                  <w:color w:val="000000" w:themeColor="text1"/>
                  <w:lang w:val="ro-RO" w:eastAsia="ro-MD"/>
                </w:rPr>
                <m:t>0,</m:t>
              </m:r>
              <m:d>
                <m:dPr>
                  <m:ctrlPr>
                    <w:rPr>
                      <w:rFonts w:ascii="Cambria Math" w:hAnsi="Cambria Math"/>
                      <w:i/>
                      <w:color w:val="000000" w:themeColor="text1"/>
                      <w:lang w:val="ro-RO" w:eastAsia="ro-MD"/>
                    </w:rPr>
                  </m:ctrlPr>
                </m:dPr>
                <m:e>
                  <m:nary>
                    <m:naryPr>
                      <m:chr m:val="∑"/>
                      <m:limLoc m:val="undOvr"/>
                      <m:supHide m:val="1"/>
                      <m:ctrlPr>
                        <w:rPr>
                          <w:rFonts w:ascii="Cambria Math" w:hAnsi="Cambria Math"/>
                          <w:i/>
                          <w:color w:val="000000" w:themeColor="text1"/>
                          <w:lang w:val="ro-RO" w:eastAsia="ro-MD"/>
                        </w:rPr>
                      </m:ctrlPr>
                    </m:naryPr>
                    <m:sub>
                      <m:r>
                        <w:rPr>
                          <w:rFonts w:ascii="Cambria Math" w:hAnsi="Cambria Math"/>
                          <w:color w:val="000000" w:themeColor="text1"/>
                          <w:lang w:val="ro-RO" w:eastAsia="ro-MD"/>
                        </w:rPr>
                        <m:t>i</m:t>
                      </m:r>
                    </m:sub>
                    <m:sup/>
                    <m:e>
                      <m:sSub>
                        <m:sSubPr>
                          <m:ctrlPr>
                            <w:rPr>
                              <w:rFonts w:ascii="Cambria Math" w:hAnsi="Cambria Math"/>
                              <w:i/>
                              <w:color w:val="000000" w:themeColor="text1"/>
                              <w:lang w:val="ro-RO" w:eastAsia="ro-MD"/>
                            </w:rPr>
                          </m:ctrlPr>
                        </m:sSubPr>
                        <m:e>
                          <m:r>
                            <w:rPr>
                              <w:rFonts w:ascii="Cambria Math" w:hAnsi="Cambria Math"/>
                              <w:color w:val="000000" w:themeColor="text1"/>
                              <w:lang w:val="ro-RO" w:eastAsia="ro-MD"/>
                            </w:rPr>
                            <m:t>E</m:t>
                          </m:r>
                        </m:e>
                        <m:sub>
                          <m:r>
                            <w:rPr>
                              <w:rFonts w:ascii="Cambria Math" w:hAnsi="Cambria Math"/>
                              <w:color w:val="000000" w:themeColor="text1"/>
                              <w:lang w:val="ro-RO" w:eastAsia="ro-MD"/>
                            </w:rPr>
                            <m:t>i</m:t>
                          </m:r>
                        </m:sub>
                      </m:sSub>
                    </m:e>
                  </m:nary>
                  <m:r>
                    <w:rPr>
                      <w:rFonts w:ascii="Cambria Math" w:hAnsi="Cambria Math"/>
                      <w:color w:val="000000" w:themeColor="text1"/>
                      <w:lang w:val="ro-RO" w:eastAsia="ro-MD"/>
                    </w:rPr>
                    <m:t>-</m:t>
                  </m:r>
                  <m:nary>
                    <m:naryPr>
                      <m:chr m:val="∑"/>
                      <m:limLoc m:val="undOvr"/>
                      <m:supHide m:val="1"/>
                      <m:ctrlPr>
                        <w:rPr>
                          <w:rFonts w:ascii="Cambria Math" w:hAnsi="Cambria Math"/>
                          <w:i/>
                          <w:color w:val="000000" w:themeColor="text1"/>
                          <w:lang w:val="ro-RO" w:eastAsia="ro-MD"/>
                        </w:rPr>
                      </m:ctrlPr>
                    </m:naryPr>
                    <m:sub>
                      <m:r>
                        <w:rPr>
                          <w:rFonts w:ascii="Cambria Math" w:hAnsi="Cambria Math"/>
                          <w:color w:val="000000" w:themeColor="text1"/>
                          <w:lang w:val="ro-RO" w:eastAsia="ro-MD"/>
                        </w:rPr>
                        <m:t>i</m:t>
                      </m:r>
                    </m:sub>
                    <m:sup/>
                    <m:e>
                      <m:sSub>
                        <m:sSubPr>
                          <m:ctrlPr>
                            <w:rPr>
                              <w:rFonts w:ascii="Cambria Math" w:hAnsi="Cambria Math"/>
                              <w:i/>
                              <w:color w:val="000000" w:themeColor="text1"/>
                              <w:lang w:val="ro-RO" w:eastAsia="ro-MD"/>
                            </w:rPr>
                          </m:ctrlPr>
                        </m:sSubPr>
                        <m:e>
                          <m:r>
                            <w:rPr>
                              <w:rFonts w:ascii="Cambria Math" w:hAnsi="Cambria Math"/>
                              <w:color w:val="000000" w:themeColor="text1"/>
                              <w:lang w:val="ro-RO" w:eastAsia="ro-MD"/>
                            </w:rPr>
                            <m:t>C</m:t>
                          </m:r>
                        </m:e>
                        <m:sub>
                          <m:r>
                            <w:rPr>
                              <w:rFonts w:ascii="Cambria Math" w:hAnsi="Cambria Math"/>
                              <w:color w:val="000000" w:themeColor="text1"/>
                              <w:lang w:val="ro-RO" w:eastAsia="ro-MD"/>
                            </w:rPr>
                            <m:t>i</m:t>
                          </m:r>
                        </m:sub>
                      </m:sSub>
                    </m:e>
                  </m:nary>
                </m:e>
              </m:d>
              <m:r>
                <w:rPr>
                  <w:rFonts w:ascii="Cambria Math" w:hAnsi="Cambria Math"/>
                  <w:color w:val="000000" w:themeColor="text1"/>
                  <w:lang w:val="ro-RO" w:eastAsia="ro-MD"/>
                </w:rPr>
                <m:t>+ variația potențială a valorii</m:t>
              </m:r>
            </m:e>
          </m:d>
          <m:r>
            <w:rPr>
              <w:rFonts w:ascii="Cambria Math" w:hAnsi="Cambria Math"/>
              <w:color w:val="000000" w:themeColor="text1"/>
              <w:lang w:val="ro-RO" w:eastAsia="ro-MD"/>
            </w:rPr>
            <m:t xml:space="preserve"> </m:t>
          </m:r>
        </m:oMath>
      </m:oMathPara>
    </w:p>
    <w:p w14:paraId="4846B90C" w14:textId="77777777" w:rsidR="00064BD9" w:rsidRPr="000B2CBE" w:rsidRDefault="00064BD9" w:rsidP="00064BD9">
      <w:pPr>
        <w:shd w:val="clear" w:color="auto" w:fill="FFFFFF"/>
        <w:spacing w:before="120" w:line="312" w:lineRule="atLeast"/>
        <w:jc w:val="both"/>
        <w:rPr>
          <w:color w:val="000000" w:themeColor="text1"/>
          <w:lang w:val="ro-RO" w:eastAsia="ro-MD"/>
        </w:rPr>
      </w:pPr>
      <w:r w:rsidRPr="000B2CBE">
        <w:rPr>
          <w:color w:val="000000" w:themeColor="text1"/>
          <w:lang w:val="ro-RO" w:eastAsia="ro-MD"/>
        </w:rPr>
        <w:t>unde:</w:t>
      </w:r>
    </w:p>
    <w:tbl>
      <w:tblPr>
        <w:tblW w:w="5000" w:type="pct"/>
        <w:tblCellMar>
          <w:left w:w="0" w:type="dxa"/>
          <w:right w:w="0" w:type="dxa"/>
        </w:tblCellMar>
        <w:tblLook w:val="04A0" w:firstRow="1" w:lastRow="0" w:firstColumn="1" w:lastColumn="0" w:noHBand="0" w:noVBand="1"/>
      </w:tblPr>
      <w:tblGrid>
        <w:gridCol w:w="192"/>
        <w:gridCol w:w="6"/>
        <w:gridCol w:w="9491"/>
      </w:tblGrid>
      <w:tr w:rsidR="00064BD9" w:rsidRPr="00274FFD" w14:paraId="708EA6E5" w14:textId="77777777" w:rsidTr="003425C4">
        <w:tc>
          <w:tcPr>
            <w:tcW w:w="0" w:type="auto"/>
            <w:hideMark/>
          </w:tcPr>
          <w:p w14:paraId="5C35CDA3" w14:textId="77777777" w:rsidR="00064BD9" w:rsidRPr="000B2CBE" w:rsidRDefault="00064BD9" w:rsidP="003425C4">
            <w:pPr>
              <w:spacing w:before="120" w:line="312" w:lineRule="atLeast"/>
              <w:jc w:val="both"/>
              <w:rPr>
                <w:color w:val="000000" w:themeColor="text1"/>
                <w:lang w:val="ro-RO" w:eastAsia="ro-MD"/>
              </w:rPr>
            </w:pPr>
            <w:r w:rsidRPr="000B2CBE">
              <w:rPr>
                <w:color w:val="000000" w:themeColor="text1"/>
                <w:lang w:val="ro-RO" w:eastAsia="ro-MD"/>
              </w:rPr>
              <w:lastRenderedPageBreak/>
              <w:t>E</w:t>
            </w:r>
            <w:r w:rsidRPr="000B2CBE">
              <w:rPr>
                <w:color w:val="000000" w:themeColor="text1"/>
                <w:vertAlign w:val="subscript"/>
                <w:lang w:val="ro-RO" w:eastAsia="ro-MD"/>
              </w:rPr>
              <w:t>i</w:t>
            </w:r>
          </w:p>
        </w:tc>
        <w:tc>
          <w:tcPr>
            <w:tcW w:w="0" w:type="auto"/>
            <w:hideMark/>
          </w:tcPr>
          <w:p w14:paraId="171EBC9C" w14:textId="77777777" w:rsidR="00064BD9" w:rsidRPr="000B2CBE" w:rsidRDefault="00064BD9" w:rsidP="003425C4">
            <w:pPr>
              <w:spacing w:before="120" w:line="312" w:lineRule="atLeast"/>
              <w:jc w:val="both"/>
              <w:rPr>
                <w:color w:val="000000" w:themeColor="text1"/>
                <w:lang w:val="ro-RO" w:eastAsia="ro-MD"/>
              </w:rPr>
            </w:pPr>
            <w:r w:rsidRPr="000B2CBE">
              <w:rPr>
                <w:color w:val="000000" w:themeColor="text1"/>
                <w:lang w:val="ro-RO" w:eastAsia="ro-MD"/>
              </w:rPr>
              <w:t xml:space="preserve"> </w:t>
            </w:r>
          </w:p>
        </w:tc>
        <w:tc>
          <w:tcPr>
            <w:tcW w:w="0" w:type="auto"/>
            <w:hideMark/>
          </w:tcPr>
          <w:p w14:paraId="113670B6" w14:textId="77777777" w:rsidR="00064BD9" w:rsidRPr="000B2CBE" w:rsidRDefault="00064BD9" w:rsidP="003425C4">
            <w:pPr>
              <w:spacing w:before="120" w:line="312" w:lineRule="atLeast"/>
              <w:jc w:val="both"/>
              <w:rPr>
                <w:color w:val="000000" w:themeColor="text1"/>
                <w:lang w:val="ro-RO" w:eastAsia="ro-MD"/>
              </w:rPr>
            </w:pPr>
            <w:r w:rsidRPr="000B2CBE">
              <w:rPr>
                <w:color w:val="000000" w:themeColor="text1"/>
                <w:lang w:val="ro-RO" w:eastAsia="ro-MD"/>
              </w:rPr>
              <w:t xml:space="preserve">  = valoarea expunerii pentru fiecare expunere separată i din cadrul acordului, care s-ar aplica în lipsa protecției creditului, în cazul în care băncile calculează valorile ponderate la risc ale expunerilor conform abordării standardizate sau în cazul în care calculează valorile ponderate la risc ale expunerilor și cuantumurile pierderilor așteptate conform abordării IRB;</w:t>
            </w:r>
          </w:p>
        </w:tc>
      </w:tr>
    </w:tbl>
    <w:p w14:paraId="2BA5828C" w14:textId="77777777" w:rsidR="00064BD9" w:rsidRPr="000B2CBE" w:rsidRDefault="00064BD9" w:rsidP="00064BD9">
      <w:pPr>
        <w:shd w:val="clear" w:color="auto" w:fill="FFFFFF"/>
        <w:jc w:val="both"/>
        <w:rPr>
          <w:vanish/>
          <w:color w:val="000000" w:themeColor="text1"/>
          <w:lang w:val="ro-RO" w:eastAsia="ro-MD"/>
        </w:rPr>
      </w:pPr>
    </w:p>
    <w:tbl>
      <w:tblPr>
        <w:tblW w:w="5000" w:type="pct"/>
        <w:tblCellMar>
          <w:left w:w="0" w:type="dxa"/>
          <w:right w:w="0" w:type="dxa"/>
        </w:tblCellMar>
        <w:tblLook w:val="04A0" w:firstRow="1" w:lastRow="0" w:firstColumn="1" w:lastColumn="0" w:noHBand="0" w:noVBand="1"/>
      </w:tblPr>
      <w:tblGrid>
        <w:gridCol w:w="205"/>
        <w:gridCol w:w="6"/>
        <w:gridCol w:w="9478"/>
      </w:tblGrid>
      <w:tr w:rsidR="000B2CBE" w:rsidRPr="00274FFD" w14:paraId="0B81CE93" w14:textId="77777777" w:rsidTr="003425C4">
        <w:tc>
          <w:tcPr>
            <w:tcW w:w="0" w:type="auto"/>
            <w:hideMark/>
          </w:tcPr>
          <w:p w14:paraId="078E094F" w14:textId="77777777" w:rsidR="00064BD9" w:rsidRPr="000B2CBE" w:rsidRDefault="00064BD9" w:rsidP="003425C4">
            <w:pPr>
              <w:spacing w:before="120" w:line="312" w:lineRule="atLeast"/>
              <w:jc w:val="both"/>
              <w:rPr>
                <w:color w:val="000000" w:themeColor="text1"/>
                <w:lang w:val="ro-RO" w:eastAsia="ro-MD"/>
              </w:rPr>
            </w:pPr>
            <w:r w:rsidRPr="000B2CBE">
              <w:rPr>
                <w:color w:val="000000" w:themeColor="text1"/>
                <w:lang w:val="ro-RO" w:eastAsia="ro-MD"/>
              </w:rPr>
              <w:t>C</w:t>
            </w:r>
            <w:r w:rsidRPr="000B2CBE">
              <w:rPr>
                <w:color w:val="000000" w:themeColor="text1"/>
                <w:vertAlign w:val="subscript"/>
                <w:lang w:val="ro-RO" w:eastAsia="ro-MD"/>
              </w:rPr>
              <w:t>i</w:t>
            </w:r>
          </w:p>
        </w:tc>
        <w:tc>
          <w:tcPr>
            <w:tcW w:w="0" w:type="auto"/>
            <w:hideMark/>
          </w:tcPr>
          <w:p w14:paraId="6F07C402" w14:textId="77777777" w:rsidR="00064BD9" w:rsidRPr="000B2CBE" w:rsidRDefault="00064BD9" w:rsidP="003425C4">
            <w:pPr>
              <w:spacing w:before="120" w:line="312" w:lineRule="atLeast"/>
              <w:jc w:val="both"/>
              <w:rPr>
                <w:color w:val="000000" w:themeColor="text1"/>
                <w:lang w:val="ro-RO" w:eastAsia="ro-MD"/>
              </w:rPr>
            </w:pPr>
            <w:r w:rsidRPr="000B2CBE">
              <w:rPr>
                <w:color w:val="000000" w:themeColor="text1"/>
                <w:lang w:val="ro-RO" w:eastAsia="ro-MD"/>
              </w:rPr>
              <w:t xml:space="preserve"> </w:t>
            </w:r>
          </w:p>
        </w:tc>
        <w:tc>
          <w:tcPr>
            <w:tcW w:w="0" w:type="auto"/>
            <w:hideMark/>
          </w:tcPr>
          <w:p w14:paraId="17F7764B" w14:textId="2724D493" w:rsidR="00064BD9" w:rsidRPr="000B2CBE" w:rsidRDefault="00064BD9" w:rsidP="003425C4">
            <w:pPr>
              <w:spacing w:before="120" w:line="312" w:lineRule="atLeast"/>
              <w:jc w:val="both"/>
              <w:rPr>
                <w:color w:val="000000" w:themeColor="text1"/>
                <w:lang w:val="ro-RO" w:eastAsia="ro-MD"/>
              </w:rPr>
            </w:pPr>
            <w:r w:rsidRPr="000B2CBE">
              <w:rPr>
                <w:color w:val="000000" w:themeColor="text1"/>
                <w:lang w:val="ro-RO" w:eastAsia="ro-MD"/>
              </w:rPr>
              <w:t xml:space="preserve"> = valoarea titlurilor luate cu împrumut, achiziționate sau primite sau numerarul luat cu împrumut sau primit pentru fiecare astfel de expunere i.</w:t>
            </w:r>
          </w:p>
        </w:tc>
      </w:tr>
    </w:tbl>
    <w:p w14:paraId="0DDEA124" w14:textId="1E89A4C4" w:rsidR="00064BD9" w:rsidRPr="000B2CBE" w:rsidRDefault="00064BD9" w:rsidP="00064BD9">
      <w:pPr>
        <w:shd w:val="clear" w:color="auto" w:fill="FFFFFF"/>
        <w:spacing w:line="312" w:lineRule="atLeast"/>
        <w:jc w:val="both"/>
        <w:rPr>
          <w:color w:val="000000" w:themeColor="text1"/>
          <w:lang w:val="ro-RO" w:eastAsia="ro-MD"/>
        </w:rPr>
      </w:pPr>
      <w:r w:rsidRPr="000B2CBE">
        <w:rPr>
          <w:b/>
          <w:bCs/>
          <w:color w:val="000000" w:themeColor="text1"/>
          <w:lang w:val="ro-RO" w:eastAsia="ro-MD"/>
        </w:rPr>
        <w:t>72</w:t>
      </w:r>
      <w:r w:rsidRPr="000B2CBE">
        <w:rPr>
          <w:b/>
          <w:bCs/>
          <w:color w:val="000000" w:themeColor="text1"/>
          <w:vertAlign w:val="superscript"/>
          <w:lang w:val="ro-RO" w:eastAsia="ro-MD"/>
        </w:rPr>
        <w:t>8</w:t>
      </w:r>
      <w:r w:rsidRPr="000B2CBE">
        <w:rPr>
          <w:b/>
          <w:bCs/>
          <w:color w:val="000000" w:themeColor="text1"/>
          <w:lang w:val="ro-RO" w:eastAsia="ro-MD"/>
        </w:rPr>
        <w:t xml:space="preserve">. </w:t>
      </w:r>
      <w:r w:rsidRPr="000B2CBE">
        <w:rPr>
          <w:color w:val="000000" w:themeColor="text1"/>
          <w:lang w:val="ro-RO" w:eastAsia="ro-MD"/>
        </w:rPr>
        <w:t>La calculul cuantumurilor ponderate la risc ale expunerilor pe baza modelelor interne, băncile trebuie să utilizeze rezultatul modelului pentru ziua lucrătoare precedentă.</w:t>
      </w:r>
    </w:p>
    <w:p w14:paraId="30D89D59" w14:textId="77777777" w:rsidR="00064BD9" w:rsidRPr="000B2CBE" w:rsidRDefault="00064BD9" w:rsidP="00064BD9">
      <w:pPr>
        <w:shd w:val="clear" w:color="auto" w:fill="FFFFFF"/>
        <w:jc w:val="both"/>
        <w:rPr>
          <w:color w:val="000000" w:themeColor="text1"/>
          <w:lang w:val="ro-RO" w:eastAsia="ro-MD"/>
        </w:rPr>
      </w:pPr>
      <w:r w:rsidRPr="000B2CBE">
        <w:rPr>
          <w:b/>
          <w:bCs/>
          <w:color w:val="000000" w:themeColor="text1"/>
          <w:lang w:val="ro-RO" w:eastAsia="ro-MD"/>
        </w:rPr>
        <w:t>72</w:t>
      </w:r>
      <w:r w:rsidRPr="000B2CBE">
        <w:rPr>
          <w:b/>
          <w:bCs/>
          <w:color w:val="000000" w:themeColor="text1"/>
          <w:vertAlign w:val="superscript"/>
          <w:lang w:val="ro-RO" w:eastAsia="ro-MD"/>
        </w:rPr>
        <w:t>9</w:t>
      </w:r>
      <w:r w:rsidRPr="000B2CBE">
        <w:rPr>
          <w:b/>
          <w:bCs/>
          <w:color w:val="000000" w:themeColor="text1"/>
          <w:lang w:val="ro-RO" w:eastAsia="ro-MD"/>
        </w:rPr>
        <w:t xml:space="preserve">. </w:t>
      </w:r>
      <w:r w:rsidRPr="000B2CBE">
        <w:rPr>
          <w:color w:val="000000" w:themeColor="text1"/>
          <w:lang w:val="ro-RO" w:eastAsia="ro-MD"/>
        </w:rPr>
        <w:t>Calculul variației potențiale a valorii menționată la punctul 72</w:t>
      </w:r>
      <w:r w:rsidRPr="000B2CBE">
        <w:rPr>
          <w:color w:val="000000" w:themeColor="text1"/>
          <w:vertAlign w:val="superscript"/>
          <w:lang w:val="ro-RO" w:eastAsia="ro-MD"/>
        </w:rPr>
        <w:t>7</w:t>
      </w:r>
      <w:r w:rsidRPr="000B2CBE">
        <w:rPr>
          <w:color w:val="000000" w:themeColor="text1"/>
          <w:lang w:val="ro-RO" w:eastAsia="ro-MD"/>
        </w:rPr>
        <w:t xml:space="preserve"> trebuie să îndeplinească toate cerințele următoare:</w:t>
      </w:r>
    </w:p>
    <w:p w14:paraId="01192CD0" w14:textId="25363B1A"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1) să fie efectuat cel puțin zilnic;</w:t>
      </w:r>
    </w:p>
    <w:p w14:paraId="3DD8D3FF" w14:textId="78CD6C2D"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 xml:space="preserve">2) să se bazeze pe un interval de încredere unilateral pe </w:t>
      </w:r>
      <w:proofErr w:type="spellStart"/>
      <w:r w:rsidRPr="000B2CBE">
        <w:rPr>
          <w:color w:val="000000" w:themeColor="text1"/>
          <w:lang w:val="ro-RO" w:eastAsia="ro-MD"/>
        </w:rPr>
        <w:t>percentila</w:t>
      </w:r>
      <w:proofErr w:type="spellEnd"/>
      <w:r w:rsidRPr="000B2CBE">
        <w:rPr>
          <w:color w:val="000000" w:themeColor="text1"/>
          <w:lang w:val="ro-RO" w:eastAsia="ro-MD"/>
        </w:rPr>
        <w:t xml:space="preserve"> 99;</w:t>
      </w:r>
    </w:p>
    <w:p w14:paraId="4249AC76" w14:textId="1E5CC89A"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3) să se bazeze pe o perioadă de deținere echivalentă cu 5 zile, cu excepția cazului altor tranzacții decât tranzacțiile de răscumpărare de titluri, sau operațiunile de dare sau luare de titluri cu împrumut, pentru care trebuie utilizată o perioadă de deținere echivalentă cu 10 zile;</w:t>
      </w:r>
    </w:p>
    <w:p w14:paraId="1F6A1378" w14:textId="0DFF02A2" w:rsidR="00064BD9" w:rsidRPr="000B2CBE" w:rsidRDefault="00064BD9" w:rsidP="00064BD9">
      <w:pPr>
        <w:shd w:val="clear" w:color="auto" w:fill="FFFFFF"/>
        <w:ind w:firstLine="567"/>
        <w:jc w:val="both"/>
        <w:rPr>
          <w:color w:val="000000" w:themeColor="text1"/>
          <w:lang w:val="ro-RO" w:eastAsia="ro-MD"/>
        </w:rPr>
      </w:pPr>
      <w:r w:rsidRPr="000B2CBE">
        <w:rPr>
          <w:color w:val="000000" w:themeColor="text1"/>
          <w:lang w:val="ro-RO" w:eastAsia="ro-MD"/>
        </w:rPr>
        <w:t>5) să se bazeze pe o perioadă de observare istorică efectivă de cel puțin un an, cu excepția cazului în care o creștere semnificativă a volatilității prețurilor justifică o perioadă de observare mai scurtă;</w:t>
      </w:r>
    </w:p>
    <w:p w14:paraId="4379ABF3" w14:textId="5B4BDC54" w:rsidR="00064BD9" w:rsidRPr="000B2CBE" w:rsidRDefault="00064BD9" w:rsidP="00064BD9">
      <w:pPr>
        <w:shd w:val="clear" w:color="auto" w:fill="FFFFFF"/>
        <w:jc w:val="both"/>
        <w:rPr>
          <w:color w:val="000000" w:themeColor="text1"/>
          <w:lang w:val="ro-RO" w:eastAsia="ro-MD"/>
        </w:rPr>
      </w:pPr>
      <w:r w:rsidRPr="000B2CBE">
        <w:rPr>
          <w:color w:val="000000" w:themeColor="text1"/>
          <w:lang w:val="ro-RO" w:eastAsia="ro-MD"/>
        </w:rPr>
        <w:t>5) setul de date utilizat pentru calcul să fie actualizat la fiecare trei luni.</w:t>
      </w:r>
    </w:p>
    <w:p w14:paraId="2DC65C73" w14:textId="69341F66" w:rsidR="00064BD9" w:rsidRPr="000B2CBE" w:rsidRDefault="00064BD9" w:rsidP="00064BD9">
      <w:pPr>
        <w:shd w:val="clear" w:color="auto" w:fill="FFFFFF"/>
        <w:spacing w:line="312" w:lineRule="atLeast"/>
        <w:jc w:val="both"/>
        <w:rPr>
          <w:color w:val="000000" w:themeColor="text1"/>
          <w:sz w:val="18"/>
          <w:szCs w:val="18"/>
          <w:lang w:val="ro-RO" w:eastAsia="ro-MD"/>
        </w:rPr>
      </w:pPr>
      <w:r w:rsidRPr="000B2CBE">
        <w:rPr>
          <w:b/>
          <w:bCs/>
          <w:color w:val="000000" w:themeColor="text1"/>
          <w:lang w:val="ro-RO" w:eastAsia="ro-MD"/>
        </w:rPr>
        <w:t>72</w:t>
      </w:r>
      <w:r w:rsidRPr="000B2CBE">
        <w:rPr>
          <w:b/>
          <w:bCs/>
          <w:color w:val="000000" w:themeColor="text1"/>
          <w:vertAlign w:val="superscript"/>
          <w:lang w:val="ro-RO" w:eastAsia="ro-MD"/>
        </w:rPr>
        <w:t>10</w:t>
      </w:r>
      <w:r w:rsidRPr="000B2CBE">
        <w:rPr>
          <w:b/>
          <w:bCs/>
          <w:color w:val="000000" w:themeColor="text1"/>
          <w:lang w:val="ro-RO" w:eastAsia="ro-MD"/>
        </w:rPr>
        <w:t xml:space="preserve">. </w:t>
      </w:r>
      <w:r w:rsidR="00DA7911" w:rsidRPr="00DA7911">
        <w:rPr>
          <w:color w:val="000000" w:themeColor="text1"/>
          <w:lang w:val="ro-RO" w:eastAsia="ro-MD"/>
        </w:rPr>
        <w:t xml:space="preserve">Dacă banca are o tranzacție de răscumpărare, o operațiune de dare sau luare de titluri sau mărfuri cu împrumut sau o tranzacție de creditare în marjă, ori altă tranzacție ori set de compensare similare, care îndeplinesc criteriile aferente valorii expunerii pentru seturile de compensare care fac obiectul unui contract în marjă stabilite în </w:t>
      </w:r>
      <w:r w:rsidR="0027791D">
        <w:rPr>
          <w:color w:val="000000" w:themeColor="text1"/>
          <w:lang w:val="ro-RO" w:eastAsia="ro-MD"/>
        </w:rPr>
        <w:t>Regulamentul nr.220/2025</w:t>
      </w:r>
      <w:r w:rsidR="00DA7911" w:rsidRPr="00DA7911">
        <w:rPr>
          <w:color w:val="000000" w:themeColor="text1"/>
          <w:lang w:val="ro-RO" w:eastAsia="ro-MD"/>
        </w:rPr>
        <w:t xml:space="preserve">, perioada minimă de deținere trebuie să fie aliniată cu perioada de risc de marjă care s-ar aplica în conformitate cu regulamentul menționat, în coroborare cu prevederile aferente reconstituirii marjei cu o periodicitate </w:t>
      </w:r>
      <w:r w:rsidR="00A438BF">
        <w:rPr>
          <w:color w:val="000000" w:themeColor="text1"/>
          <w:lang w:val="ro-RO" w:eastAsia="ro-MD"/>
        </w:rPr>
        <w:t>d</w:t>
      </w:r>
      <w:r w:rsidR="00DA7911" w:rsidRPr="00DA7911">
        <w:rPr>
          <w:color w:val="000000" w:themeColor="text1"/>
          <w:lang w:val="ro-RO" w:eastAsia="ro-MD"/>
        </w:rPr>
        <w:t>e N zile</w:t>
      </w:r>
      <w:r w:rsidRPr="000B2CBE">
        <w:rPr>
          <w:color w:val="000000" w:themeColor="text1"/>
          <w:lang w:val="ro-RO" w:eastAsia="ro-MD"/>
        </w:rPr>
        <w:t>.</w:t>
      </w:r>
    </w:p>
    <w:p w14:paraId="3C886E8F" w14:textId="3A3DA20D" w:rsidR="007B7B46" w:rsidRPr="000B2CBE" w:rsidRDefault="00064BD9" w:rsidP="00064BD9">
      <w:pPr>
        <w:shd w:val="clear" w:color="auto" w:fill="FFFFFF"/>
        <w:jc w:val="both"/>
        <w:rPr>
          <w:color w:val="000000" w:themeColor="text1"/>
          <w:lang w:val="ro-RO"/>
        </w:rPr>
      </w:pPr>
      <w:r w:rsidRPr="000B2CBE">
        <w:rPr>
          <w:b/>
          <w:bCs/>
          <w:color w:val="000000" w:themeColor="text1"/>
          <w:lang w:val="ro-RO" w:eastAsia="ro-MD"/>
        </w:rPr>
        <w:t>72</w:t>
      </w:r>
      <w:r w:rsidRPr="000B2CBE">
        <w:rPr>
          <w:b/>
          <w:bCs/>
          <w:color w:val="000000" w:themeColor="text1"/>
          <w:vertAlign w:val="superscript"/>
          <w:lang w:val="ro-RO" w:eastAsia="ro-MD"/>
        </w:rPr>
        <w:t>1</w:t>
      </w:r>
      <w:r w:rsidR="00BD392A" w:rsidRPr="000B2CBE">
        <w:rPr>
          <w:b/>
          <w:bCs/>
          <w:color w:val="000000" w:themeColor="text1"/>
          <w:vertAlign w:val="superscript"/>
          <w:lang w:val="ro-RO" w:eastAsia="ro-MD"/>
        </w:rPr>
        <w:t>1</w:t>
      </w:r>
      <w:r w:rsidRPr="000B2CBE">
        <w:rPr>
          <w:b/>
          <w:bCs/>
          <w:color w:val="000000" w:themeColor="text1"/>
          <w:lang w:val="ro-RO" w:eastAsia="ro-MD"/>
        </w:rPr>
        <w:t xml:space="preserve">. </w:t>
      </w:r>
      <w:r w:rsidRPr="000B2CBE">
        <w:rPr>
          <w:color w:val="000000" w:themeColor="text1"/>
          <w:lang w:val="ro-RO" w:eastAsia="ro-MD"/>
        </w:rPr>
        <w:t>Pentru obținerea aprobării menționate la punctul 72</w:t>
      </w:r>
      <w:r w:rsidRPr="000B2CBE">
        <w:rPr>
          <w:color w:val="000000" w:themeColor="text1"/>
          <w:vertAlign w:val="superscript"/>
          <w:lang w:val="ro-RO" w:eastAsia="ro-MD"/>
        </w:rPr>
        <w:t>4</w:t>
      </w:r>
      <w:r w:rsidRPr="000B2CBE">
        <w:rPr>
          <w:color w:val="000000" w:themeColor="text1"/>
          <w:lang w:val="ro-RO" w:eastAsia="ro-MD"/>
        </w:rPr>
        <w:t xml:space="preserve"> banca va adresa Băncii Naționale a Moldovei în scris o solicitare în acest sens, cu anexarea informației/documentației pertinente din care să rezulte îndeplinirea condițiilor de la punctul respectiv.</w:t>
      </w:r>
      <w:r w:rsidR="007B7B46" w:rsidRPr="000B2CBE">
        <w:rPr>
          <w:color w:val="000000" w:themeColor="text1"/>
          <w:lang w:val="ro-RO"/>
        </w:rPr>
        <w:t>”.</w:t>
      </w:r>
    </w:p>
    <w:p w14:paraId="71F3D0C7" w14:textId="2E0A1212" w:rsidR="00F7502D" w:rsidRPr="000B2CBE" w:rsidRDefault="007A010E" w:rsidP="00423178">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Punctul 73 se completează la final cu textul „</w:t>
      </w:r>
      <w:r w:rsidRPr="000B2CBE">
        <w:rPr>
          <w:color w:val="000000" w:themeColor="text1"/>
          <w:lang w:val="ro-RO" w:eastAsia="ro-MD"/>
        </w:rPr>
        <w:t>Băncile pot utiliza metoda simplă a garanțiilor financiare numai în cazul în care calculează valorile ponderate la risc ale expunerilor conform abordării standardizate.”.</w:t>
      </w:r>
    </w:p>
    <w:p w14:paraId="403D0A1C" w14:textId="2F3CBF18" w:rsidR="00423178" w:rsidRPr="000B2CBE" w:rsidRDefault="001B4B40" w:rsidP="00423178">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RO" w:eastAsia="ro-MD"/>
        </w:rPr>
        <w:t>Punctul 74 va avea următorul cuprins:</w:t>
      </w:r>
    </w:p>
    <w:p w14:paraId="4FB17828" w14:textId="59BA3675" w:rsidR="001B4B40" w:rsidRPr="000B2CBE" w:rsidRDefault="001B4B40" w:rsidP="00C63E10">
      <w:pPr>
        <w:tabs>
          <w:tab w:val="left" w:pos="567"/>
        </w:tabs>
        <w:jc w:val="both"/>
        <w:rPr>
          <w:color w:val="000000" w:themeColor="text1"/>
          <w:lang w:val="ro-MD"/>
        </w:rPr>
      </w:pPr>
      <w:r w:rsidRPr="000B2CBE">
        <w:rPr>
          <w:color w:val="000000" w:themeColor="text1"/>
          <w:lang w:val="ro-MD"/>
        </w:rPr>
        <w:t>„</w:t>
      </w:r>
      <w:r w:rsidR="00C63E10" w:rsidRPr="000B2CBE">
        <w:rPr>
          <w:b/>
          <w:bCs/>
          <w:color w:val="000000" w:themeColor="text1"/>
          <w:lang w:val="ro-RO" w:eastAsia="ro-MD"/>
        </w:rPr>
        <w:t>74.</w:t>
      </w:r>
      <w:r w:rsidR="00C63E10" w:rsidRPr="000B2CBE">
        <w:rPr>
          <w:color w:val="000000" w:themeColor="text1"/>
          <w:lang w:val="ro-RO" w:eastAsia="ro-MD"/>
        </w:rPr>
        <w:t xml:space="preserve"> Băncile nu trebuie să utilizeze atât metoda simplă a garanțiilor financiare cât și metoda extinsă a garanțiilor financiare, decât pentru scopurile implementării abordării IRB pentru diferite clase de expuneri și unități operaționale și ale condițiilor de utilizare parțială permanentă conform actelor normative ale Băncii Naționale a Moldovei aferente abordării bazate pe modele interne de rating. Băncile nu trebuie să utilizeze această excepție în mod selectiv, pentru a reduce cerințele de fonduri proprii sau pentru a efectua un arbitraj de reglementare.”.</w:t>
      </w:r>
    </w:p>
    <w:p w14:paraId="6D2A125B" w14:textId="1DB2CD8A" w:rsidR="00BC51B5" w:rsidRPr="000B2CBE" w:rsidRDefault="00C63E10"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La punctul 80, </w:t>
      </w:r>
      <w:r w:rsidR="003B441E" w:rsidRPr="000B2CBE">
        <w:rPr>
          <w:color w:val="000000" w:themeColor="text1"/>
          <w:lang w:val="ro-MD"/>
        </w:rPr>
        <w:t xml:space="preserve">după </w:t>
      </w:r>
      <w:r w:rsidRPr="000B2CBE">
        <w:rPr>
          <w:color w:val="000000" w:themeColor="text1"/>
          <w:lang w:val="ro-MD"/>
        </w:rPr>
        <w:t xml:space="preserve">cuvintele „valorilor expunerilor” se completează cu textul „ , </w:t>
      </w:r>
      <w:r w:rsidRPr="000B2CBE">
        <w:rPr>
          <w:color w:val="000000" w:themeColor="text1"/>
          <w:lang w:val="ro-RO" w:eastAsia="ro-MD"/>
        </w:rPr>
        <w:t xml:space="preserve">determinate în temeiul actelor normative ale Băncii Naționale a Moldovei aferente riscului de credit al </w:t>
      </w:r>
      <w:proofErr w:type="spellStart"/>
      <w:r w:rsidRPr="000B2CBE">
        <w:rPr>
          <w:color w:val="000000" w:themeColor="text1"/>
          <w:lang w:val="ro-RO" w:eastAsia="ro-MD"/>
        </w:rPr>
        <w:t>contrapărții</w:t>
      </w:r>
      <w:proofErr w:type="spellEnd"/>
      <w:r w:rsidRPr="000B2CBE">
        <w:rPr>
          <w:color w:val="000000" w:themeColor="text1"/>
          <w:lang w:val="ro-RO" w:eastAsia="ro-MD"/>
        </w:rPr>
        <w:t xml:space="preserve">,”, iar </w:t>
      </w:r>
      <w:r w:rsidR="006952B7">
        <w:rPr>
          <w:color w:val="000000" w:themeColor="text1"/>
          <w:lang w:val="ro-RO" w:eastAsia="ro-MD"/>
        </w:rPr>
        <w:t xml:space="preserve">sintagma </w:t>
      </w:r>
      <w:r w:rsidRPr="000B2CBE">
        <w:rPr>
          <w:color w:val="000000" w:themeColor="text1"/>
          <w:lang w:val="ro-RO" w:eastAsia="ro-MD"/>
        </w:rPr>
        <w:t>„instrumentele financiare derivate” s</w:t>
      </w:r>
      <w:r w:rsidR="00CE5E42" w:rsidRPr="000B2CBE">
        <w:rPr>
          <w:color w:val="000000" w:themeColor="text1"/>
          <w:lang w:val="ro-MD"/>
        </w:rPr>
        <w:t xml:space="preserve">e completează cu </w:t>
      </w:r>
      <w:r w:rsidRPr="000B2CBE">
        <w:rPr>
          <w:color w:val="000000" w:themeColor="text1"/>
          <w:lang w:val="ro-MD"/>
        </w:rPr>
        <w:t>textul „enumerate în anexa nr.1 la Regulamentul nr.114/2018 și”.</w:t>
      </w:r>
    </w:p>
    <w:p w14:paraId="77F1D9A5" w14:textId="79A48FF7" w:rsidR="008A5EC9" w:rsidRPr="000B2CBE" w:rsidRDefault="00C63E10"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Punctul 83 se completează cu subpunctul 4) cu următorul cuprins:</w:t>
      </w:r>
    </w:p>
    <w:p w14:paraId="17339BFE" w14:textId="40294349" w:rsidR="00C63E10" w:rsidRPr="000B2CBE" w:rsidRDefault="00C63E10" w:rsidP="00C63E10">
      <w:pPr>
        <w:tabs>
          <w:tab w:val="left" w:pos="567"/>
        </w:tabs>
        <w:jc w:val="both"/>
        <w:rPr>
          <w:color w:val="000000" w:themeColor="text1"/>
          <w:lang w:val="ro-MD"/>
        </w:rPr>
      </w:pPr>
      <w:r w:rsidRPr="000B2CBE">
        <w:rPr>
          <w:color w:val="000000" w:themeColor="text1"/>
          <w:lang w:val="ro-MD"/>
        </w:rPr>
        <w:lastRenderedPageBreak/>
        <w:t>„</w:t>
      </w:r>
      <w:r w:rsidRPr="000B2CBE">
        <w:rPr>
          <w:color w:val="000000" w:themeColor="text1"/>
          <w:lang w:val="ro-RO" w:eastAsia="ro-MD"/>
        </w:rPr>
        <w:t>4) titluri de datorie emise de administrațiile regionale sau de autoritățile locale, dacă expunerile față de acestea se tratează ca expuneri față de administrația centrală în a cărei jurisdicție sunt stabilite, în conformitate cu Regulamentul nr.111/2018.”.</w:t>
      </w:r>
    </w:p>
    <w:p w14:paraId="7F9506CB" w14:textId="1EEC3468" w:rsidR="00C63E10" w:rsidRPr="000B2CBE" w:rsidRDefault="006952B7" w:rsidP="00F7502D">
      <w:pPr>
        <w:pStyle w:val="ListParagraph"/>
        <w:numPr>
          <w:ilvl w:val="1"/>
          <w:numId w:val="27"/>
        </w:numPr>
        <w:tabs>
          <w:tab w:val="left" w:pos="567"/>
        </w:tabs>
        <w:spacing w:before="80"/>
        <w:ind w:left="0" w:firstLine="567"/>
        <w:contextualSpacing w:val="0"/>
        <w:jc w:val="both"/>
        <w:rPr>
          <w:color w:val="000000" w:themeColor="text1"/>
          <w:lang w:val="ro-MD"/>
        </w:rPr>
      </w:pPr>
      <w:r>
        <w:rPr>
          <w:color w:val="000000" w:themeColor="text1"/>
          <w:lang w:val="ro-MD"/>
        </w:rPr>
        <w:t>P</w:t>
      </w:r>
      <w:r w:rsidR="00C63E10" w:rsidRPr="000B2CBE">
        <w:rPr>
          <w:color w:val="000000" w:themeColor="text1"/>
          <w:lang w:val="ro-MD"/>
        </w:rPr>
        <w:t>unctul 86</w:t>
      </w:r>
      <w:r>
        <w:rPr>
          <w:color w:val="000000" w:themeColor="text1"/>
          <w:lang w:val="ro-MD"/>
        </w:rPr>
        <w:t>,</w:t>
      </w:r>
      <w:r w:rsidR="00C63E10" w:rsidRPr="000B2CBE">
        <w:rPr>
          <w:color w:val="000000" w:themeColor="text1"/>
          <w:lang w:val="ro-MD"/>
        </w:rPr>
        <w:t xml:space="preserve"> </w:t>
      </w:r>
      <w:r w:rsidR="003B441E" w:rsidRPr="000B2CBE">
        <w:rPr>
          <w:color w:val="000000" w:themeColor="text1"/>
          <w:lang w:val="ro-MD"/>
        </w:rPr>
        <w:t>după cuvintele „</w:t>
      </w:r>
      <w:r w:rsidR="003B441E" w:rsidRPr="000B2CBE">
        <w:rPr>
          <w:color w:val="000000" w:themeColor="text1"/>
          <w:lang w:val="ro-RO" w:eastAsia="ro-MD"/>
        </w:rPr>
        <w:t>acorduri de compensare” se c</w:t>
      </w:r>
      <w:r w:rsidR="00282939" w:rsidRPr="000B2CBE">
        <w:rPr>
          <w:color w:val="000000" w:themeColor="text1"/>
          <w:lang w:val="ro-RO" w:eastAsia="ro-MD"/>
        </w:rPr>
        <w:t>omp</w:t>
      </w:r>
      <w:r w:rsidR="003B441E" w:rsidRPr="000B2CBE">
        <w:rPr>
          <w:color w:val="000000" w:themeColor="text1"/>
          <w:lang w:val="ro-RO" w:eastAsia="ro-MD"/>
        </w:rPr>
        <w:t>letează cu</w:t>
      </w:r>
      <w:r w:rsidR="00282939" w:rsidRPr="000B2CBE">
        <w:rPr>
          <w:color w:val="000000" w:themeColor="text1"/>
          <w:lang w:val="ro-RO" w:eastAsia="ro-MD"/>
        </w:rPr>
        <w:t xml:space="preserve"> textul</w:t>
      </w:r>
      <w:r w:rsidR="003B441E" w:rsidRPr="000B2CBE">
        <w:rPr>
          <w:color w:val="000000" w:themeColor="text1"/>
          <w:lang w:val="ro-RO" w:eastAsia="ro-MD"/>
        </w:rPr>
        <w:t xml:space="preserve"> „recunoscute în baza </w:t>
      </w:r>
      <w:r w:rsidR="003A1954">
        <w:rPr>
          <w:color w:val="000000" w:themeColor="text1"/>
          <w:lang w:val="ro-RO" w:eastAsia="ro-MD"/>
        </w:rPr>
        <w:t>Regulamentului nr.220/2025</w:t>
      </w:r>
      <w:r w:rsidR="003B441E" w:rsidRPr="000B2CBE">
        <w:rPr>
          <w:color w:val="000000" w:themeColor="text1"/>
          <w:lang w:val="ro-RO" w:eastAsia="ro-MD"/>
        </w:rPr>
        <w:t>,</w:t>
      </w:r>
      <w:r w:rsidR="00282939" w:rsidRPr="000B2CBE">
        <w:rPr>
          <w:color w:val="000000" w:themeColor="text1"/>
          <w:lang w:val="ro-RO" w:eastAsia="ro-MD"/>
        </w:rPr>
        <w:t>”.</w:t>
      </w:r>
    </w:p>
    <w:p w14:paraId="6744B096" w14:textId="28E05B4D" w:rsidR="00C63E10" w:rsidRPr="000B2CBE" w:rsidRDefault="006551C5"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punctul 89</w:t>
      </w:r>
      <w:r w:rsidR="006952B7">
        <w:rPr>
          <w:color w:val="000000" w:themeColor="text1"/>
          <w:lang w:val="ro-MD"/>
        </w:rPr>
        <w:t>,</w:t>
      </w:r>
      <w:r w:rsidRPr="000B2CBE">
        <w:rPr>
          <w:color w:val="000000" w:themeColor="text1"/>
          <w:lang w:val="ro-MD"/>
        </w:rPr>
        <w:t xml:space="preserve"> textul „</w:t>
      </w:r>
      <w:r w:rsidRPr="000B2CBE">
        <w:rPr>
          <w:color w:val="000000" w:themeColor="text1"/>
          <w:lang w:val="ro-RO" w:eastAsia="ro-MD"/>
        </w:rPr>
        <w:t xml:space="preserve">Regulamentul nr.111/2018” se completează cu textul </w:t>
      </w:r>
      <w:r w:rsidRPr="0023120D">
        <w:rPr>
          <w:color w:val="000000" w:themeColor="text1"/>
          <w:lang w:val="ro-RO" w:eastAsia="ro-MD"/>
        </w:rPr>
        <w:t>„sau actului normativ al Băncii Naționale a Moldovei aferent</w:t>
      </w:r>
      <w:r w:rsidRPr="000B2CBE">
        <w:rPr>
          <w:color w:val="000000" w:themeColor="text1"/>
          <w:lang w:val="ro-RO" w:eastAsia="ro-MD"/>
        </w:rPr>
        <w:t xml:space="preserve"> tratamentului riscului de credit pentru bănci potrivit abordării IRB, după caz”.</w:t>
      </w:r>
    </w:p>
    <w:p w14:paraId="5028009B" w14:textId="7336C420" w:rsidR="006551C5" w:rsidRPr="000B2CBE" w:rsidRDefault="00C74A9C"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punctul 90</w:t>
      </w:r>
      <w:r w:rsidR="006952B7">
        <w:rPr>
          <w:color w:val="000000" w:themeColor="text1"/>
          <w:lang w:val="ro-MD"/>
        </w:rPr>
        <w:t>,</w:t>
      </w:r>
      <w:r w:rsidRPr="000B2CBE">
        <w:rPr>
          <w:color w:val="000000" w:themeColor="text1"/>
          <w:lang w:val="ro-MD"/>
        </w:rPr>
        <w:t xml:space="preserve"> textul „</w:t>
      </w:r>
      <w:r w:rsidRPr="000B2CBE">
        <w:rPr>
          <w:color w:val="000000" w:themeColor="text1"/>
          <w:lang w:val="ro-RO" w:eastAsia="ro-MD"/>
        </w:rPr>
        <w:t xml:space="preserve">Fără a aduce atingere punctului 89,” se exclude, iar după cuvântul „băncile” se completează cu textul „care utilizează metoda modelului intern pentru tratamentul riscului de credit al </w:t>
      </w:r>
      <w:proofErr w:type="spellStart"/>
      <w:r w:rsidRPr="000B2CBE">
        <w:rPr>
          <w:color w:val="000000" w:themeColor="text1"/>
          <w:lang w:val="ro-RO" w:eastAsia="ro-MD"/>
        </w:rPr>
        <w:t>contrapărții</w:t>
      </w:r>
      <w:proofErr w:type="spellEnd"/>
      <w:r w:rsidRPr="000B2CBE">
        <w:rPr>
          <w:color w:val="000000" w:themeColor="text1"/>
          <w:lang w:val="ro-RO" w:eastAsia="ro-MD"/>
        </w:rPr>
        <w:t>,”.</w:t>
      </w:r>
    </w:p>
    <w:p w14:paraId="01A897F1" w14:textId="60B85FD1" w:rsidR="006551C5" w:rsidRPr="000B2CBE" w:rsidRDefault="00C74A9C"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Punctul 91 va avea următorul cuprins:</w:t>
      </w:r>
    </w:p>
    <w:p w14:paraId="7060865A" w14:textId="77777777" w:rsidR="00C74A9C" w:rsidRPr="000B2CBE" w:rsidRDefault="00C74A9C" w:rsidP="00C74A9C">
      <w:pPr>
        <w:jc w:val="both"/>
        <w:rPr>
          <w:color w:val="000000" w:themeColor="text1"/>
          <w:lang w:val="ro-RO" w:eastAsia="ro-MD"/>
        </w:rPr>
      </w:pPr>
      <w:r w:rsidRPr="000B2CBE">
        <w:rPr>
          <w:color w:val="000000" w:themeColor="text1"/>
          <w:lang w:val="ro-MD"/>
        </w:rPr>
        <w:t>„</w:t>
      </w:r>
      <w:r w:rsidRPr="000B2CBE">
        <w:rPr>
          <w:b/>
          <w:bCs/>
          <w:color w:val="000000" w:themeColor="text1"/>
          <w:lang w:val="ro-RO" w:eastAsia="ro-MD"/>
        </w:rPr>
        <w:t>91.</w:t>
      </w:r>
      <w:r w:rsidRPr="000B2CBE">
        <w:rPr>
          <w:color w:val="000000" w:themeColor="text1"/>
          <w:lang w:val="ro-RO" w:eastAsia="ro-MD"/>
        </w:rPr>
        <w:t xml:space="preserve"> În vederea calculării valorii E menționate la punctul 90, se aplică următoarele:</w:t>
      </w:r>
    </w:p>
    <w:p w14:paraId="420F310B" w14:textId="77777777" w:rsidR="00C74A9C" w:rsidRPr="000B2CBE" w:rsidRDefault="00C74A9C" w:rsidP="00C74A9C">
      <w:pPr>
        <w:ind w:firstLine="567"/>
        <w:jc w:val="both"/>
        <w:rPr>
          <w:color w:val="000000" w:themeColor="text1"/>
          <w:lang w:val="ro-RO" w:eastAsia="ro-MD"/>
        </w:rPr>
      </w:pPr>
      <w:r w:rsidRPr="000B2CBE">
        <w:rPr>
          <w:color w:val="000000" w:themeColor="text1"/>
          <w:lang w:val="ro-RO" w:eastAsia="ro-MD"/>
        </w:rPr>
        <w:t xml:space="preserve">1) pentru băncile care calculează valorile ponderate la risc ale expunerilor conform abordării standardizate, valoarea expunerii unui element </w:t>
      </w:r>
      <w:proofErr w:type="spellStart"/>
      <w:r w:rsidRPr="000B2CBE">
        <w:rPr>
          <w:color w:val="000000" w:themeColor="text1"/>
          <w:lang w:val="ro-RO" w:eastAsia="ro-MD"/>
        </w:rPr>
        <w:t>extrabilanțier</w:t>
      </w:r>
      <w:proofErr w:type="spellEnd"/>
      <w:r w:rsidRPr="000B2CBE">
        <w:rPr>
          <w:color w:val="000000" w:themeColor="text1"/>
          <w:lang w:val="ro-RO" w:eastAsia="ro-MD"/>
        </w:rPr>
        <w:t xml:space="preserve"> indicat în Regulamentul nr.111/2018 trebuie să fie 100% din valoarea elementului respectiv și nu valoarea expunerii indicată în actul normativ menționat supra;</w:t>
      </w:r>
    </w:p>
    <w:p w14:paraId="7919C7C7" w14:textId="1348F504" w:rsidR="00C74A9C" w:rsidRPr="000B2CBE" w:rsidRDefault="00C74A9C" w:rsidP="00C74A9C">
      <w:pPr>
        <w:tabs>
          <w:tab w:val="left" w:pos="567"/>
        </w:tabs>
        <w:ind w:firstLine="567"/>
        <w:jc w:val="both"/>
        <w:rPr>
          <w:color w:val="000000" w:themeColor="text1"/>
          <w:lang w:val="ro-MD"/>
        </w:rPr>
      </w:pPr>
      <w:r w:rsidRPr="000B2CBE">
        <w:rPr>
          <w:color w:val="000000" w:themeColor="text1"/>
          <w:lang w:val="ro-RO" w:eastAsia="ro-MD"/>
        </w:rPr>
        <w:t xml:space="preserve">2) pentru elementele </w:t>
      </w:r>
      <w:proofErr w:type="spellStart"/>
      <w:r w:rsidRPr="000B2CBE">
        <w:rPr>
          <w:color w:val="000000" w:themeColor="text1"/>
          <w:lang w:val="ro-RO" w:eastAsia="ro-MD"/>
        </w:rPr>
        <w:t>extrabilanțiere</w:t>
      </w:r>
      <w:proofErr w:type="spellEnd"/>
      <w:r w:rsidRPr="000B2CBE">
        <w:rPr>
          <w:color w:val="000000" w:themeColor="text1"/>
          <w:lang w:val="ro-RO" w:eastAsia="ro-MD"/>
        </w:rPr>
        <w:t>, altele decât instrumentele financiare derivate tratate conform abordării IRB, băncile își calculează valorile expunerilor utilizând un CCF de 100 % în locul factorilor de conversie (CCF) pe baza abordării standardizate sau CCF pe baza abordării IRB.”.</w:t>
      </w:r>
    </w:p>
    <w:p w14:paraId="6DA15149" w14:textId="7175368D" w:rsidR="00C74A9C" w:rsidRPr="000B2CBE" w:rsidRDefault="0091180D"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Se completează cu punctul 92</w:t>
      </w:r>
      <w:r w:rsidRPr="000B2CBE">
        <w:rPr>
          <w:color w:val="000000" w:themeColor="text1"/>
          <w:vertAlign w:val="superscript"/>
          <w:lang w:val="ro-MD"/>
        </w:rPr>
        <w:t>1</w:t>
      </w:r>
      <w:r w:rsidRPr="000B2CBE">
        <w:rPr>
          <w:color w:val="000000" w:themeColor="text1"/>
          <w:lang w:val="ro-MD"/>
        </w:rPr>
        <w:t xml:space="preserve"> cu următorul cuprins:</w:t>
      </w:r>
    </w:p>
    <w:p w14:paraId="16A04623" w14:textId="04C253A6" w:rsidR="0091180D" w:rsidRPr="000B2CBE" w:rsidRDefault="0091180D" w:rsidP="00483623">
      <w:pPr>
        <w:tabs>
          <w:tab w:val="left" w:pos="567"/>
        </w:tabs>
        <w:jc w:val="both"/>
        <w:rPr>
          <w:color w:val="000000" w:themeColor="text1"/>
          <w:lang w:val="ro-MD"/>
        </w:rPr>
      </w:pPr>
      <w:r w:rsidRPr="000B2CBE">
        <w:rPr>
          <w:color w:val="000000" w:themeColor="text1"/>
          <w:lang w:val="ro-MD"/>
        </w:rPr>
        <w:t>„</w:t>
      </w:r>
      <w:r w:rsidR="002B418E" w:rsidRPr="000B2CBE">
        <w:rPr>
          <w:b/>
          <w:bCs/>
          <w:color w:val="000000" w:themeColor="text1"/>
          <w:lang w:val="ro-RO" w:eastAsia="ro-MD"/>
        </w:rPr>
        <w:t>92</w:t>
      </w:r>
      <w:r w:rsidR="002B418E" w:rsidRPr="000B2CBE">
        <w:rPr>
          <w:b/>
          <w:bCs/>
          <w:color w:val="000000" w:themeColor="text1"/>
          <w:vertAlign w:val="superscript"/>
          <w:lang w:val="ro-RO" w:eastAsia="ro-MD"/>
        </w:rPr>
        <w:t>1</w:t>
      </w:r>
      <w:r w:rsidR="002B418E" w:rsidRPr="000B2CBE">
        <w:rPr>
          <w:b/>
          <w:bCs/>
          <w:color w:val="000000" w:themeColor="text1"/>
          <w:lang w:val="ro-RO" w:eastAsia="ro-MD"/>
        </w:rPr>
        <w:t>.</w:t>
      </w:r>
      <w:r w:rsidR="002B418E" w:rsidRPr="000B2CBE">
        <w:rPr>
          <w:color w:val="000000" w:themeColor="text1"/>
          <w:lang w:val="ro-RO" w:eastAsia="ro-MD"/>
        </w:rPr>
        <w:t xml:space="preserve"> În cazul tranzacțiilor cu instrumente financiare derivate </w:t>
      </w:r>
      <w:proofErr w:type="spellStart"/>
      <w:r w:rsidR="002B418E" w:rsidRPr="000B2CBE">
        <w:rPr>
          <w:color w:val="000000" w:themeColor="text1"/>
          <w:lang w:val="ro-RO" w:eastAsia="ro-MD"/>
        </w:rPr>
        <w:t>extrabursiere</w:t>
      </w:r>
      <w:proofErr w:type="spellEnd"/>
      <w:r w:rsidR="002B418E" w:rsidRPr="000B2CBE">
        <w:rPr>
          <w:color w:val="000000" w:themeColor="text1"/>
          <w:lang w:val="ro-RO" w:eastAsia="ro-MD"/>
        </w:rPr>
        <w:t xml:space="preserve">, băncile care utilizează metodele abordării standardizate, abordării standardizate simplificate și metoda expunerii inițiale prevăzute în </w:t>
      </w:r>
      <w:r w:rsidR="003C7D22">
        <w:rPr>
          <w:color w:val="000000" w:themeColor="text1"/>
          <w:lang w:val="ro-RO" w:eastAsia="ro-MD"/>
        </w:rPr>
        <w:t>Regulamentul nr.220/2025</w:t>
      </w:r>
      <w:r w:rsidR="002B418E" w:rsidRPr="000B2CBE">
        <w:rPr>
          <w:color w:val="000000" w:themeColor="text1"/>
          <w:lang w:val="ro-RO" w:eastAsia="ro-MD"/>
        </w:rPr>
        <w:t>, țin seama de efectele de diminuare a riscului ale garanțiilor reale în conformitate cu dispozițiile aferente metodelor enumerate, prevăzute în actele normative menționate la prezentul punct, după caz.”.</w:t>
      </w:r>
    </w:p>
    <w:p w14:paraId="69BC5A4D" w14:textId="6999B180" w:rsidR="008A1582" w:rsidRPr="000B2CBE" w:rsidRDefault="008A1582" w:rsidP="008A1582">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punctul 95:</w:t>
      </w:r>
    </w:p>
    <w:p w14:paraId="2BB52932" w14:textId="406334A8" w:rsidR="008A1582" w:rsidRPr="000B2CBE" w:rsidRDefault="004270DC" w:rsidP="00CB36D2">
      <w:pPr>
        <w:pStyle w:val="ListParagraph"/>
        <w:numPr>
          <w:ilvl w:val="2"/>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t</w:t>
      </w:r>
      <w:r w:rsidR="008A1582" w:rsidRPr="000B2CBE">
        <w:rPr>
          <w:color w:val="000000" w:themeColor="text1"/>
          <w:lang w:val="ro-MD"/>
        </w:rPr>
        <w:t>abelul nr.1 va avea următorul cuprins:</w:t>
      </w:r>
    </w:p>
    <w:p w14:paraId="7326D3BC" w14:textId="77777777" w:rsidR="004270DC" w:rsidRPr="000B2CBE" w:rsidRDefault="004270DC" w:rsidP="004270DC">
      <w:pPr>
        <w:jc w:val="right"/>
        <w:rPr>
          <w:color w:val="000000" w:themeColor="text1"/>
          <w:lang w:val="ro-RO" w:eastAsia="ro-MD"/>
        </w:rPr>
      </w:pPr>
      <w:r w:rsidRPr="000B2CBE">
        <w:rPr>
          <w:color w:val="000000" w:themeColor="text1"/>
          <w:lang w:val="ro-MD"/>
        </w:rPr>
        <w:t>„</w:t>
      </w:r>
      <w:r w:rsidRPr="000B2CBE">
        <w:rPr>
          <w:b/>
          <w:bCs/>
          <w:color w:val="000000" w:themeColor="text1"/>
          <w:lang w:val="ro-RO" w:eastAsia="ro-MD"/>
        </w:rPr>
        <w:t>Tabelul nr.1</w:t>
      </w:r>
    </w:p>
    <w:tbl>
      <w:tblPr>
        <w:tblW w:w="5000" w:type="pct"/>
        <w:jc w:val="center"/>
        <w:tblCellMar>
          <w:top w:w="15" w:type="dxa"/>
          <w:left w:w="15" w:type="dxa"/>
          <w:bottom w:w="15" w:type="dxa"/>
          <w:right w:w="15" w:type="dxa"/>
        </w:tblCellMar>
        <w:tblLook w:val="04A0" w:firstRow="1" w:lastRow="0" w:firstColumn="1" w:lastColumn="0" w:noHBand="0" w:noVBand="1"/>
      </w:tblPr>
      <w:tblGrid>
        <w:gridCol w:w="1077"/>
        <w:gridCol w:w="964"/>
        <w:gridCol w:w="849"/>
        <w:gridCol w:w="849"/>
        <w:gridCol w:w="850"/>
        <w:gridCol w:w="850"/>
        <w:gridCol w:w="850"/>
        <w:gridCol w:w="850"/>
        <w:gridCol w:w="850"/>
        <w:gridCol w:w="850"/>
        <w:gridCol w:w="850"/>
      </w:tblGrid>
      <w:tr w:rsidR="000B2CBE" w:rsidRPr="000B2CBE" w14:paraId="1424FB2A" w14:textId="77777777" w:rsidTr="000773D3">
        <w:trPr>
          <w:gridAfter w:val="10"/>
          <w:jc w:val="center"/>
        </w:trPr>
        <w:tc>
          <w:tcPr>
            <w:tcW w:w="0" w:type="auto"/>
            <w:tcBorders>
              <w:top w:val="nil"/>
              <w:left w:val="nil"/>
              <w:bottom w:val="single" w:sz="6" w:space="0" w:color="000000"/>
              <w:right w:val="nil"/>
            </w:tcBorders>
            <w:tcMar>
              <w:top w:w="24" w:type="dxa"/>
              <w:left w:w="48" w:type="dxa"/>
              <w:bottom w:w="24" w:type="dxa"/>
              <w:right w:w="48" w:type="dxa"/>
            </w:tcMar>
            <w:hideMark/>
          </w:tcPr>
          <w:p w14:paraId="3395C7F6" w14:textId="77777777" w:rsidR="004270DC" w:rsidRPr="000B2CBE" w:rsidRDefault="004270DC" w:rsidP="000773D3">
            <w:pPr>
              <w:jc w:val="right"/>
              <w:rPr>
                <w:color w:val="000000" w:themeColor="text1"/>
                <w:lang w:val="ro-RO" w:eastAsia="ro-MD"/>
              </w:rPr>
            </w:pPr>
            <w:r w:rsidRPr="000B2CBE">
              <w:rPr>
                <w:color w:val="000000" w:themeColor="text1"/>
                <w:lang w:val="ro-RO" w:eastAsia="ro-MD"/>
              </w:rPr>
              <w:t>  </w:t>
            </w:r>
          </w:p>
        </w:tc>
      </w:tr>
      <w:tr w:rsidR="000B2CBE" w:rsidRPr="00274FFD" w14:paraId="6525C0E7"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69C44915"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Nivelul de calitate a creditului cu care este asociată evaluarea creditului pentru titlul de datorie</w:t>
            </w:r>
          </w:p>
        </w:tc>
        <w:tc>
          <w:tcPr>
            <w:tcW w:w="0" w:type="auto"/>
            <w:tcBorders>
              <w:top w:val="outset" w:sz="6" w:space="0" w:color="auto"/>
              <w:left w:val="outset" w:sz="6" w:space="0" w:color="auto"/>
              <w:bottom w:val="outset" w:sz="6" w:space="0" w:color="auto"/>
              <w:right w:val="outset" w:sz="6" w:space="0" w:color="auto"/>
            </w:tcBorders>
            <w:hideMark/>
          </w:tcPr>
          <w:p w14:paraId="2A3487C4"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Scadența reziduală (m), exprimată în ani</w:t>
            </w:r>
          </w:p>
        </w:tc>
        <w:tc>
          <w:tcPr>
            <w:tcW w:w="0" w:type="auto"/>
            <w:gridSpan w:val="3"/>
            <w:tcBorders>
              <w:top w:val="outset" w:sz="6" w:space="0" w:color="auto"/>
              <w:left w:val="outset" w:sz="6" w:space="0" w:color="auto"/>
              <w:bottom w:val="outset" w:sz="6" w:space="0" w:color="auto"/>
              <w:right w:val="outset" w:sz="6" w:space="0" w:color="auto"/>
            </w:tcBorders>
            <w:hideMark/>
          </w:tcPr>
          <w:p w14:paraId="3C493B93"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Ajustările de volatilitate pentru titlurile de datorie emise de entitățile descrise la punctul 25 subpunctele 2) și 3)</w:t>
            </w:r>
          </w:p>
        </w:tc>
        <w:tc>
          <w:tcPr>
            <w:tcW w:w="0" w:type="auto"/>
            <w:gridSpan w:val="3"/>
            <w:tcBorders>
              <w:top w:val="outset" w:sz="6" w:space="0" w:color="auto"/>
              <w:left w:val="outset" w:sz="6" w:space="0" w:color="auto"/>
              <w:bottom w:val="outset" w:sz="6" w:space="0" w:color="auto"/>
              <w:right w:val="outset" w:sz="6" w:space="0" w:color="auto"/>
            </w:tcBorders>
            <w:hideMark/>
          </w:tcPr>
          <w:p w14:paraId="607F5A48"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Ajustările de volatilitate pentru titlurile de datorie emise de entitățile descrise la punctul 25 subpunctele 4) și 5)</w:t>
            </w:r>
          </w:p>
        </w:tc>
        <w:tc>
          <w:tcPr>
            <w:tcW w:w="0" w:type="auto"/>
            <w:gridSpan w:val="3"/>
            <w:tcBorders>
              <w:top w:val="outset" w:sz="6" w:space="0" w:color="auto"/>
              <w:left w:val="outset" w:sz="6" w:space="0" w:color="auto"/>
              <w:bottom w:val="outset" w:sz="6" w:space="0" w:color="auto"/>
              <w:right w:val="outset" w:sz="6" w:space="0" w:color="auto"/>
            </w:tcBorders>
            <w:hideMark/>
          </w:tcPr>
          <w:p w14:paraId="10B75ADE"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 xml:space="preserve">Ajustările de volatilitate pentru pozițiile din securitizare care îndeplinesc criteriile stabilite la punctul 25 subpunctul 9) </w:t>
            </w:r>
          </w:p>
        </w:tc>
      </w:tr>
      <w:tr w:rsidR="000B2CBE" w:rsidRPr="00274FFD" w14:paraId="5040A8D1"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746637FB" w14:textId="77777777" w:rsidR="004270DC" w:rsidRPr="000B2CBE" w:rsidRDefault="004270DC" w:rsidP="000773D3">
            <w:pPr>
              <w:spacing w:line="312" w:lineRule="atLeast"/>
              <w:rPr>
                <w:b/>
                <w:bCs/>
                <w:color w:val="000000" w:themeColor="text1"/>
                <w:lang w:val="ro-RO" w:eastAsia="ro-MD"/>
              </w:rPr>
            </w:pPr>
            <w:r w:rsidRPr="000B2CBE">
              <w:rPr>
                <w:b/>
                <w:bCs/>
                <w:color w:val="000000" w:themeColor="text1"/>
                <w:lang w:val="ro-RO" w:eastAsia="ro-MD"/>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107E7EC3" w14:textId="77777777" w:rsidR="004270DC" w:rsidRPr="000B2CBE" w:rsidRDefault="004270DC" w:rsidP="000773D3">
            <w:pPr>
              <w:spacing w:line="312" w:lineRule="atLeast"/>
              <w:rPr>
                <w:b/>
                <w:bCs/>
                <w:color w:val="000000" w:themeColor="text1"/>
                <w:lang w:val="ro-RO" w:eastAsia="ro-MD"/>
              </w:rPr>
            </w:pPr>
            <w:r w:rsidRPr="000B2CBE">
              <w:rPr>
                <w:b/>
                <w:bCs/>
                <w:color w:val="000000" w:themeColor="text1"/>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FD1CBF0"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20 de zile (%)</w:t>
            </w:r>
          </w:p>
        </w:tc>
        <w:tc>
          <w:tcPr>
            <w:tcW w:w="0" w:type="auto"/>
            <w:tcBorders>
              <w:top w:val="outset" w:sz="6" w:space="0" w:color="auto"/>
              <w:left w:val="outset" w:sz="6" w:space="0" w:color="auto"/>
              <w:bottom w:val="outset" w:sz="6" w:space="0" w:color="auto"/>
              <w:right w:val="outset" w:sz="6" w:space="0" w:color="auto"/>
            </w:tcBorders>
            <w:hideMark/>
          </w:tcPr>
          <w:p w14:paraId="0E89B2DF"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10 zile (%)</w:t>
            </w:r>
          </w:p>
        </w:tc>
        <w:tc>
          <w:tcPr>
            <w:tcW w:w="0" w:type="auto"/>
            <w:tcBorders>
              <w:top w:val="outset" w:sz="6" w:space="0" w:color="auto"/>
              <w:left w:val="outset" w:sz="6" w:space="0" w:color="auto"/>
              <w:bottom w:val="outset" w:sz="6" w:space="0" w:color="auto"/>
              <w:right w:val="outset" w:sz="6" w:space="0" w:color="auto"/>
            </w:tcBorders>
            <w:hideMark/>
          </w:tcPr>
          <w:p w14:paraId="539FD214"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5 zile (%)</w:t>
            </w:r>
          </w:p>
        </w:tc>
        <w:tc>
          <w:tcPr>
            <w:tcW w:w="0" w:type="auto"/>
            <w:tcBorders>
              <w:top w:val="outset" w:sz="6" w:space="0" w:color="auto"/>
              <w:left w:val="outset" w:sz="6" w:space="0" w:color="auto"/>
              <w:bottom w:val="outset" w:sz="6" w:space="0" w:color="auto"/>
              <w:right w:val="outset" w:sz="6" w:space="0" w:color="auto"/>
            </w:tcBorders>
            <w:hideMark/>
          </w:tcPr>
          <w:p w14:paraId="354B2487"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20 de zile (%)</w:t>
            </w:r>
          </w:p>
        </w:tc>
        <w:tc>
          <w:tcPr>
            <w:tcW w:w="0" w:type="auto"/>
            <w:tcBorders>
              <w:top w:val="outset" w:sz="6" w:space="0" w:color="auto"/>
              <w:left w:val="outset" w:sz="6" w:space="0" w:color="auto"/>
              <w:bottom w:val="outset" w:sz="6" w:space="0" w:color="auto"/>
              <w:right w:val="outset" w:sz="6" w:space="0" w:color="auto"/>
            </w:tcBorders>
            <w:hideMark/>
          </w:tcPr>
          <w:p w14:paraId="1EC53207"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10 zile (%)</w:t>
            </w:r>
          </w:p>
        </w:tc>
        <w:tc>
          <w:tcPr>
            <w:tcW w:w="0" w:type="auto"/>
            <w:tcBorders>
              <w:top w:val="outset" w:sz="6" w:space="0" w:color="auto"/>
              <w:left w:val="outset" w:sz="6" w:space="0" w:color="auto"/>
              <w:bottom w:val="outset" w:sz="6" w:space="0" w:color="auto"/>
              <w:right w:val="outset" w:sz="6" w:space="0" w:color="auto"/>
            </w:tcBorders>
            <w:hideMark/>
          </w:tcPr>
          <w:p w14:paraId="0E1CE800"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5 zile (%)</w:t>
            </w:r>
          </w:p>
        </w:tc>
        <w:tc>
          <w:tcPr>
            <w:tcW w:w="0" w:type="auto"/>
            <w:tcBorders>
              <w:top w:val="outset" w:sz="6" w:space="0" w:color="auto"/>
              <w:left w:val="outset" w:sz="6" w:space="0" w:color="auto"/>
              <w:bottom w:val="outset" w:sz="6" w:space="0" w:color="auto"/>
              <w:right w:val="outset" w:sz="6" w:space="0" w:color="auto"/>
            </w:tcBorders>
            <w:hideMark/>
          </w:tcPr>
          <w:p w14:paraId="05FCF6FC"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20 de zile (%)</w:t>
            </w:r>
          </w:p>
        </w:tc>
        <w:tc>
          <w:tcPr>
            <w:tcW w:w="0" w:type="auto"/>
            <w:tcBorders>
              <w:top w:val="outset" w:sz="6" w:space="0" w:color="auto"/>
              <w:left w:val="outset" w:sz="6" w:space="0" w:color="auto"/>
              <w:bottom w:val="outset" w:sz="6" w:space="0" w:color="auto"/>
              <w:right w:val="outset" w:sz="6" w:space="0" w:color="auto"/>
            </w:tcBorders>
            <w:hideMark/>
          </w:tcPr>
          <w:p w14:paraId="549BD0C0"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10 zile (%)</w:t>
            </w:r>
          </w:p>
        </w:tc>
        <w:tc>
          <w:tcPr>
            <w:tcW w:w="0" w:type="auto"/>
            <w:tcBorders>
              <w:top w:val="outset" w:sz="6" w:space="0" w:color="auto"/>
              <w:left w:val="outset" w:sz="6" w:space="0" w:color="auto"/>
              <w:bottom w:val="outset" w:sz="6" w:space="0" w:color="auto"/>
              <w:right w:val="outset" w:sz="6" w:space="0" w:color="auto"/>
            </w:tcBorders>
            <w:hideMark/>
          </w:tcPr>
          <w:p w14:paraId="78A44038" w14:textId="77777777" w:rsidR="004270DC" w:rsidRPr="000B2CBE" w:rsidRDefault="004270D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5 zile (%)</w:t>
            </w:r>
          </w:p>
        </w:tc>
      </w:tr>
      <w:tr w:rsidR="000B2CBE" w:rsidRPr="000B2CBE" w14:paraId="2B349845"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val="restart"/>
            <w:tcBorders>
              <w:top w:val="outset" w:sz="6" w:space="0" w:color="auto"/>
              <w:left w:val="outset" w:sz="6" w:space="0" w:color="auto"/>
              <w:right w:val="outset" w:sz="6" w:space="0" w:color="auto"/>
            </w:tcBorders>
            <w:hideMark/>
          </w:tcPr>
          <w:p w14:paraId="5B99392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w:t>
            </w:r>
          </w:p>
          <w:p w14:paraId="2032AE91" w14:textId="77777777" w:rsidR="004270DC" w:rsidRPr="000B2CBE" w:rsidRDefault="004270DC" w:rsidP="000773D3">
            <w:pPr>
              <w:spacing w:line="312" w:lineRule="atLeast"/>
              <w:rPr>
                <w:color w:val="000000" w:themeColor="text1"/>
                <w:lang w:eastAsia="ro-MD"/>
              </w:rPr>
            </w:pPr>
            <w:r w:rsidRPr="000B2CBE">
              <w:rPr>
                <w:color w:val="000000" w:themeColor="text1"/>
                <w:lang w:eastAsia="ro-MD"/>
              </w:rPr>
              <w:t> </w:t>
            </w:r>
          </w:p>
          <w:p w14:paraId="535FADE4" w14:textId="77777777" w:rsidR="004270DC" w:rsidRPr="000B2CBE" w:rsidRDefault="004270DC" w:rsidP="000773D3">
            <w:pPr>
              <w:spacing w:line="312" w:lineRule="atLeast"/>
              <w:rPr>
                <w:color w:val="000000" w:themeColor="text1"/>
                <w:lang w:eastAsia="ro-MD"/>
              </w:rPr>
            </w:pPr>
            <w:r w:rsidRPr="000B2CBE">
              <w:rPr>
                <w:color w:val="000000" w:themeColor="text1"/>
                <w:lang w:eastAsia="ro-MD"/>
              </w:rPr>
              <w:t> </w:t>
            </w:r>
          </w:p>
          <w:p w14:paraId="189EED08" w14:textId="77777777" w:rsidR="004270DC" w:rsidRPr="000B2CBE" w:rsidRDefault="004270DC" w:rsidP="000773D3">
            <w:pPr>
              <w:spacing w:line="312" w:lineRule="atLeast"/>
              <w:rPr>
                <w:color w:val="000000" w:themeColor="text1"/>
                <w:lang w:eastAsia="ro-MD"/>
              </w:rPr>
            </w:pPr>
            <w:r w:rsidRPr="000B2CBE">
              <w:rPr>
                <w:color w:val="000000" w:themeColor="text1"/>
                <w:lang w:eastAsia="ro-MD"/>
              </w:rPr>
              <w:t> </w:t>
            </w:r>
          </w:p>
          <w:p w14:paraId="23F80048" w14:textId="77777777" w:rsidR="004270DC" w:rsidRPr="000B2CBE" w:rsidRDefault="004270DC" w:rsidP="000773D3">
            <w:pPr>
              <w:spacing w:line="312" w:lineRule="atLeast"/>
              <w:rPr>
                <w:color w:val="000000" w:themeColor="text1"/>
                <w:lang w:eastAsia="ro-MD"/>
              </w:rPr>
            </w:pPr>
            <w:r w:rsidRPr="000B2CBE">
              <w:rPr>
                <w:color w:val="000000" w:themeColor="text1"/>
                <w:lang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C2FA2B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m ≤ 1</w:t>
            </w:r>
          </w:p>
        </w:tc>
        <w:tc>
          <w:tcPr>
            <w:tcW w:w="0" w:type="auto"/>
            <w:tcBorders>
              <w:top w:val="outset" w:sz="6" w:space="0" w:color="auto"/>
              <w:left w:val="outset" w:sz="6" w:space="0" w:color="auto"/>
              <w:bottom w:val="outset" w:sz="6" w:space="0" w:color="auto"/>
              <w:right w:val="outset" w:sz="6" w:space="0" w:color="auto"/>
            </w:tcBorders>
            <w:hideMark/>
          </w:tcPr>
          <w:p w14:paraId="4A826182"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06E38B07"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0,5</w:t>
            </w:r>
          </w:p>
        </w:tc>
        <w:tc>
          <w:tcPr>
            <w:tcW w:w="0" w:type="auto"/>
            <w:tcBorders>
              <w:top w:val="outset" w:sz="6" w:space="0" w:color="auto"/>
              <w:left w:val="outset" w:sz="6" w:space="0" w:color="auto"/>
              <w:bottom w:val="outset" w:sz="6" w:space="0" w:color="auto"/>
              <w:right w:val="outset" w:sz="6" w:space="0" w:color="auto"/>
            </w:tcBorders>
            <w:hideMark/>
          </w:tcPr>
          <w:p w14:paraId="62593401"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0,354</w:t>
            </w:r>
          </w:p>
        </w:tc>
        <w:tc>
          <w:tcPr>
            <w:tcW w:w="0" w:type="auto"/>
            <w:tcBorders>
              <w:top w:val="outset" w:sz="6" w:space="0" w:color="auto"/>
              <w:left w:val="outset" w:sz="6" w:space="0" w:color="auto"/>
              <w:bottom w:val="outset" w:sz="6" w:space="0" w:color="auto"/>
              <w:right w:val="outset" w:sz="6" w:space="0" w:color="auto"/>
            </w:tcBorders>
            <w:hideMark/>
          </w:tcPr>
          <w:p w14:paraId="132CE781"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CB9EADF"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437450E4"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6050198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7BF08D62"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566CE907"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1,414</w:t>
            </w:r>
          </w:p>
        </w:tc>
      </w:tr>
      <w:tr w:rsidR="000B2CBE" w:rsidRPr="000B2CBE" w14:paraId="672FA54E"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1BC26A08" w14:textId="77777777" w:rsidR="004270DC" w:rsidRPr="000B2CBE" w:rsidRDefault="004270DC" w:rsidP="000773D3">
            <w:pPr>
              <w:spacing w:line="312" w:lineRule="atLeast"/>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0C6A7C04"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 &lt; m ≤ 3</w:t>
            </w:r>
          </w:p>
        </w:tc>
        <w:tc>
          <w:tcPr>
            <w:tcW w:w="0" w:type="auto"/>
            <w:tcBorders>
              <w:top w:val="outset" w:sz="6" w:space="0" w:color="auto"/>
              <w:left w:val="outset" w:sz="6" w:space="0" w:color="auto"/>
              <w:bottom w:val="outset" w:sz="6" w:space="0" w:color="auto"/>
              <w:right w:val="outset" w:sz="6" w:space="0" w:color="auto"/>
            </w:tcBorders>
            <w:hideMark/>
          </w:tcPr>
          <w:p w14:paraId="6C246763"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4B9F3B2C"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36ADEAB7"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49123F41"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5C11731C"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2479D27D"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708CCCAA"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11,314</w:t>
            </w:r>
          </w:p>
        </w:tc>
        <w:tc>
          <w:tcPr>
            <w:tcW w:w="0" w:type="auto"/>
            <w:tcBorders>
              <w:top w:val="outset" w:sz="6" w:space="0" w:color="auto"/>
              <w:left w:val="outset" w:sz="6" w:space="0" w:color="auto"/>
              <w:bottom w:val="outset" w:sz="6" w:space="0" w:color="auto"/>
              <w:right w:val="outset" w:sz="6" w:space="0" w:color="auto"/>
            </w:tcBorders>
            <w:hideMark/>
          </w:tcPr>
          <w:p w14:paraId="64948BFE"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w:t>
            </w:r>
          </w:p>
        </w:tc>
        <w:tc>
          <w:tcPr>
            <w:tcW w:w="0" w:type="auto"/>
            <w:tcBorders>
              <w:top w:val="outset" w:sz="6" w:space="0" w:color="auto"/>
              <w:left w:val="outset" w:sz="6" w:space="0" w:color="auto"/>
              <w:bottom w:val="outset" w:sz="6" w:space="0" w:color="auto"/>
              <w:right w:val="outset" w:sz="6" w:space="0" w:color="auto"/>
            </w:tcBorders>
            <w:hideMark/>
          </w:tcPr>
          <w:p w14:paraId="31CB8164"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5,657</w:t>
            </w:r>
          </w:p>
        </w:tc>
      </w:tr>
      <w:tr w:rsidR="000B2CBE" w:rsidRPr="000B2CBE" w14:paraId="6F22476A"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29E58238" w14:textId="77777777" w:rsidR="004270DC" w:rsidRPr="000B2CBE" w:rsidRDefault="004270DC" w:rsidP="000773D3">
            <w:pPr>
              <w:spacing w:line="312" w:lineRule="atLeast"/>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64C172DC"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3 &lt; m ≤ 5</w:t>
            </w:r>
          </w:p>
        </w:tc>
        <w:tc>
          <w:tcPr>
            <w:tcW w:w="0" w:type="auto"/>
            <w:tcBorders>
              <w:top w:val="outset" w:sz="6" w:space="0" w:color="auto"/>
              <w:left w:val="outset" w:sz="6" w:space="0" w:color="auto"/>
              <w:bottom w:val="outset" w:sz="6" w:space="0" w:color="auto"/>
              <w:right w:val="outset" w:sz="6" w:space="0" w:color="auto"/>
            </w:tcBorders>
            <w:hideMark/>
          </w:tcPr>
          <w:p w14:paraId="6C605DED"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48003E8A"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4C6C0E45"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686C5A9C"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FDD01F1"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7CA04A45"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2C4E4376"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11,314</w:t>
            </w:r>
          </w:p>
        </w:tc>
        <w:tc>
          <w:tcPr>
            <w:tcW w:w="0" w:type="auto"/>
            <w:tcBorders>
              <w:top w:val="outset" w:sz="6" w:space="0" w:color="auto"/>
              <w:left w:val="outset" w:sz="6" w:space="0" w:color="auto"/>
              <w:bottom w:val="outset" w:sz="6" w:space="0" w:color="auto"/>
              <w:right w:val="outset" w:sz="6" w:space="0" w:color="auto"/>
            </w:tcBorders>
            <w:hideMark/>
          </w:tcPr>
          <w:p w14:paraId="517ECC3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w:t>
            </w:r>
          </w:p>
        </w:tc>
        <w:tc>
          <w:tcPr>
            <w:tcW w:w="0" w:type="auto"/>
            <w:tcBorders>
              <w:top w:val="outset" w:sz="6" w:space="0" w:color="auto"/>
              <w:left w:val="outset" w:sz="6" w:space="0" w:color="auto"/>
              <w:bottom w:val="outset" w:sz="6" w:space="0" w:color="auto"/>
              <w:right w:val="outset" w:sz="6" w:space="0" w:color="auto"/>
            </w:tcBorders>
            <w:hideMark/>
          </w:tcPr>
          <w:p w14:paraId="086D960E"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5,657</w:t>
            </w:r>
          </w:p>
        </w:tc>
      </w:tr>
      <w:tr w:rsidR="000B2CBE" w:rsidRPr="000B2CBE" w14:paraId="45641245"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111A8D6B" w14:textId="77777777" w:rsidR="004270DC" w:rsidRPr="000B2CBE" w:rsidRDefault="004270DC" w:rsidP="000773D3">
            <w:pPr>
              <w:spacing w:line="312" w:lineRule="atLeast"/>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42B00887"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5 &lt; m ≤ 10</w:t>
            </w:r>
          </w:p>
        </w:tc>
        <w:tc>
          <w:tcPr>
            <w:tcW w:w="0" w:type="auto"/>
            <w:tcBorders>
              <w:top w:val="outset" w:sz="6" w:space="0" w:color="auto"/>
              <w:left w:val="outset" w:sz="6" w:space="0" w:color="auto"/>
              <w:bottom w:val="outset" w:sz="6" w:space="0" w:color="auto"/>
              <w:right w:val="outset" w:sz="6" w:space="0" w:color="auto"/>
            </w:tcBorders>
            <w:hideMark/>
          </w:tcPr>
          <w:p w14:paraId="764407E5"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2AEFC8C4"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4BF5C252"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2E2CA9B1"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276C65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21A3C5AF"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22E38865"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22,627</w:t>
            </w:r>
          </w:p>
        </w:tc>
        <w:tc>
          <w:tcPr>
            <w:tcW w:w="0" w:type="auto"/>
            <w:tcBorders>
              <w:top w:val="outset" w:sz="6" w:space="0" w:color="auto"/>
              <w:left w:val="outset" w:sz="6" w:space="0" w:color="auto"/>
              <w:bottom w:val="outset" w:sz="6" w:space="0" w:color="auto"/>
              <w:right w:val="outset" w:sz="6" w:space="0" w:color="auto"/>
            </w:tcBorders>
            <w:hideMark/>
          </w:tcPr>
          <w:p w14:paraId="0DF44F8E"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16</w:t>
            </w:r>
          </w:p>
        </w:tc>
        <w:tc>
          <w:tcPr>
            <w:tcW w:w="0" w:type="auto"/>
            <w:tcBorders>
              <w:top w:val="outset" w:sz="6" w:space="0" w:color="auto"/>
              <w:left w:val="outset" w:sz="6" w:space="0" w:color="auto"/>
              <w:bottom w:val="outset" w:sz="6" w:space="0" w:color="auto"/>
              <w:right w:val="outset" w:sz="6" w:space="0" w:color="auto"/>
            </w:tcBorders>
            <w:hideMark/>
          </w:tcPr>
          <w:p w14:paraId="709CAB4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11,314</w:t>
            </w:r>
          </w:p>
        </w:tc>
      </w:tr>
      <w:tr w:rsidR="000B2CBE" w:rsidRPr="000B2CBE" w14:paraId="78570E68"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bottom w:val="outset" w:sz="6" w:space="0" w:color="auto"/>
              <w:right w:val="outset" w:sz="6" w:space="0" w:color="auto"/>
            </w:tcBorders>
            <w:hideMark/>
          </w:tcPr>
          <w:p w14:paraId="2B1DB98F" w14:textId="77777777" w:rsidR="004270DC" w:rsidRPr="000B2CBE" w:rsidRDefault="004270DC" w:rsidP="000773D3">
            <w:pPr>
              <w:spacing w:line="312" w:lineRule="atLeast"/>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2E646A4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m &gt; 10</w:t>
            </w:r>
          </w:p>
        </w:tc>
        <w:tc>
          <w:tcPr>
            <w:tcW w:w="0" w:type="auto"/>
            <w:tcBorders>
              <w:top w:val="outset" w:sz="6" w:space="0" w:color="auto"/>
              <w:left w:val="outset" w:sz="6" w:space="0" w:color="auto"/>
              <w:bottom w:val="outset" w:sz="6" w:space="0" w:color="auto"/>
              <w:right w:val="outset" w:sz="6" w:space="0" w:color="auto"/>
            </w:tcBorders>
            <w:hideMark/>
          </w:tcPr>
          <w:p w14:paraId="5D4E22FF"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9A17E7C"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637E1976"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77A3A97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5CA9461F"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64F3F1E5"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7D93C7D6"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22,627</w:t>
            </w:r>
          </w:p>
        </w:tc>
        <w:tc>
          <w:tcPr>
            <w:tcW w:w="0" w:type="auto"/>
            <w:tcBorders>
              <w:top w:val="outset" w:sz="6" w:space="0" w:color="auto"/>
              <w:left w:val="outset" w:sz="6" w:space="0" w:color="auto"/>
              <w:bottom w:val="outset" w:sz="6" w:space="0" w:color="auto"/>
              <w:right w:val="outset" w:sz="6" w:space="0" w:color="auto"/>
            </w:tcBorders>
            <w:hideMark/>
          </w:tcPr>
          <w:p w14:paraId="2966614B"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16</w:t>
            </w:r>
          </w:p>
        </w:tc>
        <w:tc>
          <w:tcPr>
            <w:tcW w:w="0" w:type="auto"/>
            <w:tcBorders>
              <w:top w:val="outset" w:sz="6" w:space="0" w:color="auto"/>
              <w:left w:val="outset" w:sz="6" w:space="0" w:color="auto"/>
              <w:bottom w:val="outset" w:sz="6" w:space="0" w:color="auto"/>
              <w:right w:val="outset" w:sz="6" w:space="0" w:color="auto"/>
            </w:tcBorders>
            <w:hideMark/>
          </w:tcPr>
          <w:p w14:paraId="57AF3A2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11,314</w:t>
            </w:r>
          </w:p>
        </w:tc>
      </w:tr>
      <w:tr w:rsidR="000B2CBE" w:rsidRPr="000B2CBE" w14:paraId="1614DA7A"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val="restart"/>
            <w:tcBorders>
              <w:top w:val="outset" w:sz="6" w:space="0" w:color="auto"/>
              <w:left w:val="outset" w:sz="6" w:space="0" w:color="auto"/>
              <w:right w:val="outset" w:sz="6" w:space="0" w:color="auto"/>
            </w:tcBorders>
            <w:hideMark/>
          </w:tcPr>
          <w:p w14:paraId="3ED0B1FA"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2-3</w:t>
            </w:r>
          </w:p>
          <w:p w14:paraId="6748A9F2" w14:textId="77777777" w:rsidR="004270DC" w:rsidRPr="000B2CBE" w:rsidRDefault="004270DC" w:rsidP="000773D3">
            <w:pPr>
              <w:spacing w:line="312" w:lineRule="atLeast"/>
              <w:rPr>
                <w:color w:val="000000" w:themeColor="text1"/>
                <w:lang w:eastAsia="ro-MD"/>
              </w:rPr>
            </w:pPr>
            <w:r w:rsidRPr="000B2CBE">
              <w:rPr>
                <w:color w:val="000000" w:themeColor="text1"/>
                <w:lang w:eastAsia="ro-MD"/>
              </w:rPr>
              <w:t> </w:t>
            </w:r>
          </w:p>
          <w:p w14:paraId="69AC98DB" w14:textId="77777777" w:rsidR="004270DC" w:rsidRPr="000B2CBE" w:rsidRDefault="004270DC" w:rsidP="000773D3">
            <w:pPr>
              <w:spacing w:line="312" w:lineRule="atLeast"/>
              <w:rPr>
                <w:color w:val="000000" w:themeColor="text1"/>
                <w:lang w:eastAsia="ro-MD"/>
              </w:rPr>
            </w:pPr>
            <w:r w:rsidRPr="000B2CBE">
              <w:rPr>
                <w:color w:val="000000" w:themeColor="text1"/>
                <w:lang w:eastAsia="ro-MD"/>
              </w:rPr>
              <w:t> </w:t>
            </w:r>
          </w:p>
          <w:p w14:paraId="1D70F1A3" w14:textId="77777777" w:rsidR="004270DC" w:rsidRPr="000B2CBE" w:rsidRDefault="004270DC" w:rsidP="000773D3">
            <w:pPr>
              <w:spacing w:line="312" w:lineRule="atLeast"/>
              <w:rPr>
                <w:color w:val="000000" w:themeColor="text1"/>
                <w:lang w:eastAsia="ro-MD"/>
              </w:rPr>
            </w:pPr>
            <w:r w:rsidRPr="000B2CBE">
              <w:rPr>
                <w:color w:val="000000" w:themeColor="text1"/>
                <w:lang w:eastAsia="ro-MD"/>
              </w:rPr>
              <w:t> </w:t>
            </w:r>
          </w:p>
          <w:p w14:paraId="10F2B92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AB5FD2F"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m ≤ 1</w:t>
            </w:r>
          </w:p>
        </w:tc>
        <w:tc>
          <w:tcPr>
            <w:tcW w:w="0" w:type="auto"/>
            <w:tcBorders>
              <w:top w:val="outset" w:sz="6" w:space="0" w:color="auto"/>
              <w:left w:val="outset" w:sz="6" w:space="0" w:color="auto"/>
              <w:bottom w:val="outset" w:sz="6" w:space="0" w:color="auto"/>
              <w:right w:val="outset" w:sz="6" w:space="0" w:color="auto"/>
            </w:tcBorders>
            <w:hideMark/>
          </w:tcPr>
          <w:p w14:paraId="42BEE31E"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01BD715"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37170AA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0A00BA8F"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5901A62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2F50652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A45AFCF"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E7670D7"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40D3BD60"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w:t>
            </w:r>
          </w:p>
        </w:tc>
      </w:tr>
      <w:tr w:rsidR="000B2CBE" w:rsidRPr="000B2CBE" w14:paraId="3560DE51"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390E428D" w14:textId="77777777" w:rsidR="004270DC" w:rsidRPr="000B2CBE" w:rsidRDefault="004270DC" w:rsidP="000773D3">
            <w:pPr>
              <w:spacing w:before="60" w:after="60" w:line="312" w:lineRule="atLeast"/>
              <w:jc w:val="both"/>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731BF8F5"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 &lt; m ≤ 3</w:t>
            </w:r>
          </w:p>
        </w:tc>
        <w:tc>
          <w:tcPr>
            <w:tcW w:w="0" w:type="auto"/>
            <w:tcBorders>
              <w:top w:val="outset" w:sz="6" w:space="0" w:color="auto"/>
              <w:left w:val="outset" w:sz="6" w:space="0" w:color="auto"/>
              <w:bottom w:val="outset" w:sz="6" w:space="0" w:color="auto"/>
              <w:right w:val="outset" w:sz="6" w:space="0" w:color="auto"/>
            </w:tcBorders>
            <w:hideMark/>
          </w:tcPr>
          <w:p w14:paraId="132AB1C3"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67F248E6"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54E38F32"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38F963BB"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5273CC5B"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3F73AD94"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53D6DD8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74FD914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3EBB600E"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8,485</w:t>
            </w:r>
          </w:p>
        </w:tc>
      </w:tr>
      <w:tr w:rsidR="000B2CBE" w:rsidRPr="000B2CBE" w14:paraId="72347E10"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603D8C1C" w14:textId="77777777" w:rsidR="004270DC" w:rsidRPr="000B2CBE" w:rsidRDefault="004270DC" w:rsidP="000773D3">
            <w:pPr>
              <w:spacing w:before="60" w:after="60" w:line="312" w:lineRule="atLeast"/>
              <w:jc w:val="both"/>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34350156"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3 &lt; m ≤ 5</w:t>
            </w:r>
          </w:p>
        </w:tc>
        <w:tc>
          <w:tcPr>
            <w:tcW w:w="0" w:type="auto"/>
            <w:tcBorders>
              <w:top w:val="outset" w:sz="6" w:space="0" w:color="auto"/>
              <w:left w:val="outset" w:sz="6" w:space="0" w:color="auto"/>
              <w:bottom w:val="outset" w:sz="6" w:space="0" w:color="auto"/>
              <w:right w:val="outset" w:sz="6" w:space="0" w:color="auto"/>
            </w:tcBorders>
            <w:hideMark/>
          </w:tcPr>
          <w:p w14:paraId="7081210C"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24DDBD47"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69B30044"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131E28BE"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70DB40E"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33C124F3"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13B34A0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602BE0E2"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0E5F1EFD"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8,485</w:t>
            </w:r>
          </w:p>
        </w:tc>
      </w:tr>
      <w:tr w:rsidR="000B2CBE" w:rsidRPr="000B2CBE" w14:paraId="42E48543"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62D527D1" w14:textId="77777777" w:rsidR="004270DC" w:rsidRPr="000B2CBE" w:rsidRDefault="004270DC" w:rsidP="000773D3">
            <w:pPr>
              <w:spacing w:before="60" w:after="60" w:line="312" w:lineRule="atLeast"/>
              <w:jc w:val="both"/>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26656E72"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5 &lt; m ≤ 10</w:t>
            </w:r>
          </w:p>
        </w:tc>
        <w:tc>
          <w:tcPr>
            <w:tcW w:w="0" w:type="auto"/>
            <w:tcBorders>
              <w:top w:val="outset" w:sz="6" w:space="0" w:color="auto"/>
              <w:left w:val="outset" w:sz="6" w:space="0" w:color="auto"/>
              <w:bottom w:val="outset" w:sz="6" w:space="0" w:color="auto"/>
              <w:right w:val="outset" w:sz="6" w:space="0" w:color="auto"/>
            </w:tcBorders>
            <w:hideMark/>
          </w:tcPr>
          <w:p w14:paraId="1C4AC603"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7B9B1636"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07B00D82"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0802D952"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7057CEE4"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73A8F231"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33603B43"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33,941</w:t>
            </w:r>
          </w:p>
        </w:tc>
        <w:tc>
          <w:tcPr>
            <w:tcW w:w="0" w:type="auto"/>
            <w:tcBorders>
              <w:top w:val="outset" w:sz="6" w:space="0" w:color="auto"/>
              <w:left w:val="outset" w:sz="6" w:space="0" w:color="auto"/>
              <w:bottom w:val="outset" w:sz="6" w:space="0" w:color="auto"/>
              <w:right w:val="outset" w:sz="6" w:space="0" w:color="auto"/>
            </w:tcBorders>
            <w:hideMark/>
          </w:tcPr>
          <w:p w14:paraId="0DCE3DC1"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24</w:t>
            </w:r>
          </w:p>
        </w:tc>
        <w:tc>
          <w:tcPr>
            <w:tcW w:w="0" w:type="auto"/>
            <w:tcBorders>
              <w:top w:val="outset" w:sz="6" w:space="0" w:color="auto"/>
              <w:left w:val="outset" w:sz="6" w:space="0" w:color="auto"/>
              <w:bottom w:val="outset" w:sz="6" w:space="0" w:color="auto"/>
              <w:right w:val="outset" w:sz="6" w:space="0" w:color="auto"/>
            </w:tcBorders>
            <w:hideMark/>
          </w:tcPr>
          <w:p w14:paraId="3C23C25F"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16,971</w:t>
            </w:r>
          </w:p>
        </w:tc>
      </w:tr>
      <w:tr w:rsidR="000B2CBE" w:rsidRPr="000B2CBE" w14:paraId="060F10F4"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bottom w:val="outset" w:sz="6" w:space="0" w:color="auto"/>
              <w:right w:val="outset" w:sz="6" w:space="0" w:color="auto"/>
            </w:tcBorders>
            <w:hideMark/>
          </w:tcPr>
          <w:p w14:paraId="53D93182" w14:textId="77777777" w:rsidR="004270DC" w:rsidRPr="000B2CBE" w:rsidRDefault="004270DC" w:rsidP="000773D3">
            <w:pPr>
              <w:spacing w:before="60" w:after="60" w:line="312" w:lineRule="atLeast"/>
              <w:jc w:val="both"/>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4E4D1DB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m &gt; 10</w:t>
            </w:r>
          </w:p>
        </w:tc>
        <w:tc>
          <w:tcPr>
            <w:tcW w:w="0" w:type="auto"/>
            <w:tcBorders>
              <w:top w:val="outset" w:sz="6" w:space="0" w:color="auto"/>
              <w:left w:val="outset" w:sz="6" w:space="0" w:color="auto"/>
              <w:bottom w:val="outset" w:sz="6" w:space="0" w:color="auto"/>
              <w:right w:val="outset" w:sz="6" w:space="0" w:color="auto"/>
            </w:tcBorders>
            <w:hideMark/>
          </w:tcPr>
          <w:p w14:paraId="7F79FF5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645DB91"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4105023F"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78340A0B"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28,284</w:t>
            </w:r>
          </w:p>
        </w:tc>
        <w:tc>
          <w:tcPr>
            <w:tcW w:w="0" w:type="auto"/>
            <w:tcBorders>
              <w:top w:val="outset" w:sz="6" w:space="0" w:color="auto"/>
              <w:left w:val="outset" w:sz="6" w:space="0" w:color="auto"/>
              <w:bottom w:val="outset" w:sz="6" w:space="0" w:color="auto"/>
              <w:right w:val="outset" w:sz="6" w:space="0" w:color="auto"/>
            </w:tcBorders>
            <w:hideMark/>
          </w:tcPr>
          <w:p w14:paraId="7F723C0E"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20</w:t>
            </w:r>
          </w:p>
        </w:tc>
        <w:tc>
          <w:tcPr>
            <w:tcW w:w="0" w:type="auto"/>
            <w:tcBorders>
              <w:top w:val="outset" w:sz="6" w:space="0" w:color="auto"/>
              <w:left w:val="outset" w:sz="6" w:space="0" w:color="auto"/>
              <w:bottom w:val="outset" w:sz="6" w:space="0" w:color="auto"/>
              <w:right w:val="outset" w:sz="6" w:space="0" w:color="auto"/>
            </w:tcBorders>
            <w:hideMark/>
          </w:tcPr>
          <w:p w14:paraId="5C76F33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14,142</w:t>
            </w:r>
          </w:p>
        </w:tc>
        <w:tc>
          <w:tcPr>
            <w:tcW w:w="0" w:type="auto"/>
            <w:tcBorders>
              <w:top w:val="outset" w:sz="6" w:space="0" w:color="auto"/>
              <w:left w:val="outset" w:sz="6" w:space="0" w:color="auto"/>
              <w:bottom w:val="outset" w:sz="6" w:space="0" w:color="auto"/>
              <w:right w:val="outset" w:sz="6" w:space="0" w:color="auto"/>
            </w:tcBorders>
            <w:hideMark/>
          </w:tcPr>
          <w:p w14:paraId="5A5DC193"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33,941</w:t>
            </w:r>
          </w:p>
        </w:tc>
        <w:tc>
          <w:tcPr>
            <w:tcW w:w="0" w:type="auto"/>
            <w:tcBorders>
              <w:top w:val="outset" w:sz="6" w:space="0" w:color="auto"/>
              <w:left w:val="outset" w:sz="6" w:space="0" w:color="auto"/>
              <w:bottom w:val="outset" w:sz="6" w:space="0" w:color="auto"/>
              <w:right w:val="outset" w:sz="6" w:space="0" w:color="auto"/>
            </w:tcBorders>
            <w:hideMark/>
          </w:tcPr>
          <w:p w14:paraId="59D80582"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24</w:t>
            </w:r>
          </w:p>
        </w:tc>
        <w:tc>
          <w:tcPr>
            <w:tcW w:w="0" w:type="auto"/>
            <w:tcBorders>
              <w:top w:val="outset" w:sz="6" w:space="0" w:color="auto"/>
              <w:left w:val="outset" w:sz="6" w:space="0" w:color="auto"/>
              <w:bottom w:val="outset" w:sz="6" w:space="0" w:color="auto"/>
              <w:right w:val="outset" w:sz="6" w:space="0" w:color="auto"/>
            </w:tcBorders>
            <w:hideMark/>
          </w:tcPr>
          <w:p w14:paraId="4F5835A6"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16,971</w:t>
            </w:r>
          </w:p>
        </w:tc>
      </w:tr>
      <w:tr w:rsidR="004270DC" w:rsidRPr="000B2CBE" w14:paraId="2182C5F2"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0B0A067C" w14:textId="77777777" w:rsidR="004270DC" w:rsidRPr="000B2CBE" w:rsidRDefault="004270DC" w:rsidP="000773D3">
            <w:pPr>
              <w:spacing w:line="312" w:lineRule="atLeast"/>
              <w:rPr>
                <w:color w:val="000000" w:themeColor="text1"/>
                <w:lang w:eastAsia="ro-MD"/>
              </w:rPr>
            </w:pPr>
            <w:r w:rsidRPr="000B2CBE">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1AA76C1C" w14:textId="77777777" w:rsidR="004270DC" w:rsidRPr="000B2CBE" w:rsidRDefault="004270DC" w:rsidP="000773D3">
            <w:pPr>
              <w:spacing w:before="60" w:after="60" w:line="312" w:lineRule="atLeast"/>
              <w:jc w:val="both"/>
              <w:rPr>
                <w:color w:val="000000" w:themeColor="text1"/>
                <w:lang w:val="ro-RO" w:eastAsia="ro-MD"/>
              </w:rPr>
            </w:pPr>
            <w:r w:rsidRPr="000B2CBE">
              <w:rPr>
                <w:color w:val="000000" w:themeColor="text1"/>
                <w:lang w:val="ro-RO" w:eastAsia="ro-MD"/>
              </w:rPr>
              <w:t>toți</w:t>
            </w:r>
          </w:p>
        </w:tc>
        <w:tc>
          <w:tcPr>
            <w:tcW w:w="0" w:type="auto"/>
            <w:tcBorders>
              <w:top w:val="outset" w:sz="6" w:space="0" w:color="auto"/>
              <w:left w:val="outset" w:sz="6" w:space="0" w:color="auto"/>
              <w:bottom w:val="outset" w:sz="6" w:space="0" w:color="auto"/>
              <w:right w:val="outset" w:sz="6" w:space="0" w:color="auto"/>
            </w:tcBorders>
            <w:hideMark/>
          </w:tcPr>
          <w:p w14:paraId="23EB3654"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21,213</w:t>
            </w:r>
          </w:p>
        </w:tc>
        <w:tc>
          <w:tcPr>
            <w:tcW w:w="0" w:type="auto"/>
            <w:tcBorders>
              <w:top w:val="outset" w:sz="6" w:space="0" w:color="auto"/>
              <w:left w:val="outset" w:sz="6" w:space="0" w:color="auto"/>
              <w:bottom w:val="outset" w:sz="6" w:space="0" w:color="auto"/>
              <w:right w:val="outset" w:sz="6" w:space="0" w:color="auto"/>
            </w:tcBorders>
            <w:hideMark/>
          </w:tcPr>
          <w:p w14:paraId="11900B49"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15</w:t>
            </w:r>
          </w:p>
        </w:tc>
        <w:tc>
          <w:tcPr>
            <w:tcW w:w="0" w:type="auto"/>
            <w:tcBorders>
              <w:top w:val="outset" w:sz="6" w:space="0" w:color="auto"/>
              <w:left w:val="outset" w:sz="6" w:space="0" w:color="auto"/>
              <w:bottom w:val="outset" w:sz="6" w:space="0" w:color="auto"/>
              <w:right w:val="outset" w:sz="6" w:space="0" w:color="auto"/>
            </w:tcBorders>
            <w:hideMark/>
          </w:tcPr>
          <w:p w14:paraId="5E0DB008"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10,607</w:t>
            </w:r>
          </w:p>
        </w:tc>
        <w:tc>
          <w:tcPr>
            <w:tcW w:w="0" w:type="auto"/>
            <w:tcBorders>
              <w:top w:val="outset" w:sz="6" w:space="0" w:color="auto"/>
              <w:left w:val="outset" w:sz="6" w:space="0" w:color="auto"/>
              <w:bottom w:val="outset" w:sz="6" w:space="0" w:color="auto"/>
              <w:right w:val="outset" w:sz="6" w:space="0" w:color="auto"/>
            </w:tcBorders>
            <w:hideMark/>
          </w:tcPr>
          <w:p w14:paraId="4E270BCE"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4AFCC310"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5DD425DC"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2EBD5C17"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318298CD"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7A2CBE05" w14:textId="77777777" w:rsidR="004270DC" w:rsidRPr="000B2CBE" w:rsidRDefault="004270DC" w:rsidP="000773D3">
            <w:pPr>
              <w:spacing w:before="60" w:after="60" w:line="312" w:lineRule="atLeast"/>
              <w:jc w:val="both"/>
              <w:rPr>
                <w:color w:val="000000" w:themeColor="text1"/>
                <w:lang w:eastAsia="ro-MD"/>
              </w:rPr>
            </w:pPr>
            <w:r w:rsidRPr="000B2CBE">
              <w:rPr>
                <w:color w:val="000000" w:themeColor="text1"/>
                <w:lang w:eastAsia="ro-MD"/>
              </w:rPr>
              <w:t>N/A</w:t>
            </w:r>
          </w:p>
        </w:tc>
      </w:tr>
    </w:tbl>
    <w:p w14:paraId="31A65BA7" w14:textId="30F09FC5" w:rsidR="004270DC" w:rsidRPr="000B2CBE" w:rsidRDefault="004270DC" w:rsidP="004270DC">
      <w:pPr>
        <w:tabs>
          <w:tab w:val="left" w:pos="567"/>
        </w:tabs>
        <w:spacing w:before="80"/>
        <w:jc w:val="both"/>
        <w:rPr>
          <w:color w:val="000000" w:themeColor="text1"/>
          <w:lang w:val="ro-MD"/>
        </w:rPr>
      </w:pPr>
    </w:p>
    <w:p w14:paraId="2C6F6F41" w14:textId="4A20D5FF" w:rsidR="008A1582" w:rsidRPr="000B2CBE" w:rsidRDefault="008A1582" w:rsidP="00CB36D2">
      <w:pPr>
        <w:pStyle w:val="ListParagraph"/>
        <w:numPr>
          <w:ilvl w:val="2"/>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Tabelul nr.2 se completează cu o nouă coloană, cu următorul cuprins:</w:t>
      </w:r>
    </w:p>
    <w:p w14:paraId="4ADD340B" w14:textId="2E89A482" w:rsidR="0079290C" w:rsidRPr="000B2CBE" w:rsidRDefault="0079290C" w:rsidP="0079290C">
      <w:pPr>
        <w:tabs>
          <w:tab w:val="left" w:pos="567"/>
        </w:tabs>
        <w:spacing w:before="80"/>
        <w:jc w:val="both"/>
        <w:rPr>
          <w:color w:val="000000" w:themeColor="text1"/>
          <w:lang w:val="ro-MD"/>
        </w:rPr>
      </w:pPr>
    </w:p>
    <w:tbl>
      <w:tblPr>
        <w:tblW w:w="627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8"/>
        <w:gridCol w:w="2070"/>
        <w:gridCol w:w="2028"/>
      </w:tblGrid>
      <w:tr w:rsidR="000B2CBE" w:rsidRPr="00274FFD" w14:paraId="798DB836" w14:textId="77777777" w:rsidTr="0079290C">
        <w:trPr>
          <w:trHeight w:val="962"/>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2322651C" w14:textId="77777777" w:rsidR="0079290C" w:rsidRPr="000B2CBE" w:rsidRDefault="0079290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Ajustările de volatilitate pentru pozițiile din securitizare care îndeplinesc criteriile stabilite la punctul 25 subpunctul 9)  pentru care s-au efectuat evaluări de credit pe termen scurt</w:t>
            </w:r>
          </w:p>
        </w:tc>
      </w:tr>
      <w:tr w:rsidR="000B2CBE" w:rsidRPr="00274FFD" w14:paraId="024ECF77" w14:textId="77777777" w:rsidTr="0079290C">
        <w:trPr>
          <w:trHeight w:val="1104"/>
          <w:jc w:val="center"/>
        </w:trPr>
        <w:tc>
          <w:tcPr>
            <w:tcW w:w="0" w:type="auto"/>
            <w:tcBorders>
              <w:top w:val="outset" w:sz="6" w:space="0" w:color="auto"/>
              <w:left w:val="outset" w:sz="6" w:space="0" w:color="auto"/>
              <w:bottom w:val="outset" w:sz="6" w:space="0" w:color="auto"/>
              <w:right w:val="outset" w:sz="6" w:space="0" w:color="auto"/>
            </w:tcBorders>
          </w:tcPr>
          <w:p w14:paraId="4CE0F60A" w14:textId="77777777" w:rsidR="0079290C" w:rsidRPr="000B2CBE" w:rsidRDefault="0079290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20 de zile (%)</w:t>
            </w:r>
          </w:p>
        </w:tc>
        <w:tc>
          <w:tcPr>
            <w:tcW w:w="0" w:type="auto"/>
            <w:tcBorders>
              <w:top w:val="outset" w:sz="6" w:space="0" w:color="auto"/>
              <w:left w:val="outset" w:sz="6" w:space="0" w:color="auto"/>
              <w:bottom w:val="outset" w:sz="6" w:space="0" w:color="auto"/>
              <w:right w:val="outset" w:sz="6" w:space="0" w:color="auto"/>
            </w:tcBorders>
          </w:tcPr>
          <w:p w14:paraId="6D4BB260" w14:textId="77777777" w:rsidR="0079290C" w:rsidRPr="000B2CBE" w:rsidRDefault="0079290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10 zile (%)</w:t>
            </w:r>
          </w:p>
        </w:tc>
        <w:tc>
          <w:tcPr>
            <w:tcW w:w="0" w:type="auto"/>
            <w:tcBorders>
              <w:top w:val="outset" w:sz="6" w:space="0" w:color="auto"/>
              <w:left w:val="outset" w:sz="6" w:space="0" w:color="auto"/>
              <w:bottom w:val="outset" w:sz="6" w:space="0" w:color="auto"/>
              <w:right w:val="outset" w:sz="6" w:space="0" w:color="auto"/>
            </w:tcBorders>
          </w:tcPr>
          <w:p w14:paraId="0C06F76D" w14:textId="77777777" w:rsidR="0079290C" w:rsidRPr="000B2CBE" w:rsidRDefault="0079290C" w:rsidP="000773D3">
            <w:pPr>
              <w:spacing w:before="60" w:after="60" w:line="312" w:lineRule="atLeast"/>
              <w:jc w:val="both"/>
              <w:rPr>
                <w:b/>
                <w:bCs/>
                <w:color w:val="000000" w:themeColor="text1"/>
                <w:lang w:val="ro-RO" w:eastAsia="ro-MD"/>
              </w:rPr>
            </w:pPr>
            <w:r w:rsidRPr="000B2CBE">
              <w:rPr>
                <w:b/>
                <w:bCs/>
                <w:color w:val="000000" w:themeColor="text1"/>
                <w:lang w:val="ro-RO" w:eastAsia="ro-MD"/>
              </w:rPr>
              <w:t>Perioadă de deținere de 5 zile (%)</w:t>
            </w:r>
          </w:p>
        </w:tc>
      </w:tr>
      <w:tr w:rsidR="000B2CBE" w:rsidRPr="000B2CBE" w14:paraId="7A585FAA" w14:textId="77777777" w:rsidTr="0079290C">
        <w:trPr>
          <w:trHeight w:val="395"/>
          <w:jc w:val="center"/>
        </w:trPr>
        <w:tc>
          <w:tcPr>
            <w:tcW w:w="0" w:type="auto"/>
            <w:tcBorders>
              <w:top w:val="outset" w:sz="6" w:space="0" w:color="auto"/>
              <w:left w:val="outset" w:sz="6" w:space="0" w:color="auto"/>
              <w:bottom w:val="outset" w:sz="6" w:space="0" w:color="auto"/>
              <w:right w:val="outset" w:sz="6" w:space="0" w:color="auto"/>
            </w:tcBorders>
          </w:tcPr>
          <w:p w14:paraId="2479CAEB" w14:textId="77777777" w:rsidR="0079290C" w:rsidRPr="000B2CBE" w:rsidRDefault="0079290C" w:rsidP="000773D3">
            <w:pPr>
              <w:spacing w:before="60" w:after="60" w:line="312" w:lineRule="atLeast"/>
              <w:jc w:val="both"/>
              <w:rPr>
                <w:color w:val="000000" w:themeColor="text1"/>
                <w:lang w:eastAsia="ro-MD"/>
              </w:rPr>
            </w:pPr>
            <w:r w:rsidRPr="000B2CBE">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tcPr>
          <w:p w14:paraId="6F6A662C" w14:textId="77777777" w:rsidR="0079290C" w:rsidRPr="000B2CBE" w:rsidRDefault="0079290C" w:rsidP="000773D3">
            <w:pPr>
              <w:spacing w:before="60" w:after="60" w:line="312" w:lineRule="atLeast"/>
              <w:jc w:val="both"/>
              <w:rPr>
                <w:color w:val="000000" w:themeColor="text1"/>
                <w:lang w:eastAsia="ro-MD"/>
              </w:rPr>
            </w:pPr>
            <w:r w:rsidRPr="000B2CBE">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tcPr>
          <w:p w14:paraId="5FDE9DCB" w14:textId="77777777" w:rsidR="0079290C" w:rsidRPr="000B2CBE" w:rsidRDefault="0079290C" w:rsidP="000773D3">
            <w:pPr>
              <w:spacing w:before="60" w:after="60" w:line="312" w:lineRule="atLeast"/>
              <w:jc w:val="both"/>
              <w:rPr>
                <w:color w:val="000000" w:themeColor="text1"/>
                <w:lang w:eastAsia="ro-MD"/>
              </w:rPr>
            </w:pPr>
            <w:r w:rsidRPr="000B2CBE">
              <w:rPr>
                <w:color w:val="000000" w:themeColor="text1"/>
                <w:lang w:eastAsia="ro-MD"/>
              </w:rPr>
              <w:t>1,414</w:t>
            </w:r>
          </w:p>
        </w:tc>
      </w:tr>
      <w:tr w:rsidR="0079290C" w:rsidRPr="000B2CBE" w14:paraId="7B977511" w14:textId="77777777" w:rsidTr="0079290C">
        <w:trPr>
          <w:trHeight w:val="459"/>
          <w:jc w:val="center"/>
        </w:trPr>
        <w:tc>
          <w:tcPr>
            <w:tcW w:w="0" w:type="auto"/>
            <w:tcBorders>
              <w:top w:val="outset" w:sz="6" w:space="0" w:color="auto"/>
              <w:left w:val="outset" w:sz="6" w:space="0" w:color="auto"/>
              <w:bottom w:val="outset" w:sz="6" w:space="0" w:color="auto"/>
              <w:right w:val="outset" w:sz="6" w:space="0" w:color="auto"/>
            </w:tcBorders>
          </w:tcPr>
          <w:p w14:paraId="2B5B04AE" w14:textId="77777777" w:rsidR="0079290C" w:rsidRPr="000B2CBE" w:rsidRDefault="0079290C" w:rsidP="000773D3">
            <w:pPr>
              <w:spacing w:before="60" w:after="60" w:line="312" w:lineRule="atLeast"/>
              <w:jc w:val="both"/>
              <w:rPr>
                <w:color w:val="000000" w:themeColor="text1"/>
                <w:lang w:eastAsia="ro-MD"/>
              </w:rPr>
            </w:pPr>
            <w:r w:rsidRPr="000B2CBE">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tcPr>
          <w:p w14:paraId="5DCF4DDE" w14:textId="77777777" w:rsidR="0079290C" w:rsidRPr="000B2CBE" w:rsidRDefault="0079290C" w:rsidP="000773D3">
            <w:pPr>
              <w:spacing w:before="60" w:after="60" w:line="312" w:lineRule="atLeast"/>
              <w:jc w:val="both"/>
              <w:rPr>
                <w:color w:val="000000" w:themeColor="text1"/>
                <w:lang w:eastAsia="ro-MD"/>
              </w:rPr>
            </w:pPr>
            <w:r w:rsidRPr="000B2CBE">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tcPr>
          <w:p w14:paraId="74EB2280" w14:textId="77777777" w:rsidR="0079290C" w:rsidRPr="000B2CBE" w:rsidRDefault="0079290C" w:rsidP="000773D3">
            <w:pPr>
              <w:spacing w:before="60" w:after="60" w:line="312" w:lineRule="atLeast"/>
              <w:jc w:val="both"/>
              <w:rPr>
                <w:color w:val="000000" w:themeColor="text1"/>
                <w:lang w:eastAsia="ro-MD"/>
              </w:rPr>
            </w:pPr>
            <w:r w:rsidRPr="000B2CBE">
              <w:rPr>
                <w:color w:val="000000" w:themeColor="text1"/>
                <w:lang w:eastAsia="ro-MD"/>
              </w:rPr>
              <w:t>2,828</w:t>
            </w:r>
          </w:p>
        </w:tc>
      </w:tr>
    </w:tbl>
    <w:p w14:paraId="21C4E9BE" w14:textId="7F3EFD55" w:rsidR="0079290C" w:rsidRPr="000B2CBE" w:rsidRDefault="0079290C" w:rsidP="0079290C">
      <w:pPr>
        <w:tabs>
          <w:tab w:val="left" w:pos="567"/>
        </w:tabs>
        <w:spacing w:before="80"/>
        <w:jc w:val="both"/>
        <w:rPr>
          <w:color w:val="000000" w:themeColor="text1"/>
          <w:lang w:val="ro-MD"/>
        </w:rPr>
      </w:pPr>
    </w:p>
    <w:p w14:paraId="7F9FFCCD" w14:textId="576D766D" w:rsidR="008A1582" w:rsidRPr="000B2CBE" w:rsidRDefault="008A1582" w:rsidP="00CB36D2">
      <w:pPr>
        <w:pStyle w:val="ListParagraph"/>
        <w:numPr>
          <w:ilvl w:val="2"/>
          <w:numId w:val="27"/>
        </w:numPr>
        <w:tabs>
          <w:tab w:val="left" w:pos="0"/>
        </w:tabs>
        <w:spacing w:before="80"/>
        <w:ind w:left="0" w:firstLine="567"/>
        <w:contextualSpacing w:val="0"/>
        <w:jc w:val="both"/>
        <w:rPr>
          <w:color w:val="000000" w:themeColor="text1"/>
          <w:lang w:val="ro-MD"/>
        </w:rPr>
      </w:pPr>
      <w:r w:rsidRPr="000B2CBE">
        <w:rPr>
          <w:color w:val="000000" w:themeColor="text1"/>
          <w:lang w:val="ro-MD"/>
        </w:rPr>
        <w:t>Tabelul nr.3 va avea următorul cuprins:</w:t>
      </w:r>
    </w:p>
    <w:p w14:paraId="0C8402A4" w14:textId="1F7AEF53" w:rsidR="00BB2430" w:rsidRPr="000B2CBE" w:rsidRDefault="00BB2430" w:rsidP="00BB2430">
      <w:pPr>
        <w:tabs>
          <w:tab w:val="left" w:pos="567"/>
        </w:tabs>
        <w:spacing w:before="80"/>
        <w:jc w:val="both"/>
        <w:rPr>
          <w:color w:val="000000" w:themeColor="text1"/>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844"/>
        <w:gridCol w:w="2009"/>
        <w:gridCol w:w="2009"/>
        <w:gridCol w:w="1889"/>
      </w:tblGrid>
      <w:tr w:rsidR="000B2CBE" w:rsidRPr="000B2CBE" w14:paraId="24D1C5A5" w14:textId="77777777" w:rsidTr="000773D3">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F660D58" w14:textId="7178E82A" w:rsidR="00BB2430" w:rsidRPr="000B2CBE" w:rsidRDefault="00BB2430" w:rsidP="000773D3">
            <w:pPr>
              <w:jc w:val="right"/>
              <w:rPr>
                <w:color w:val="000000" w:themeColor="text1"/>
                <w:lang w:val="ro-RO" w:eastAsia="ro-MD"/>
              </w:rPr>
            </w:pPr>
            <w:r w:rsidRPr="000B2CBE">
              <w:rPr>
                <w:b/>
                <w:bCs/>
                <w:color w:val="000000" w:themeColor="text1"/>
                <w:lang w:val="ro-RO" w:eastAsia="ro-MD"/>
              </w:rPr>
              <w:t>„Tabelul nr.3</w:t>
            </w:r>
          </w:p>
          <w:p w14:paraId="491AB28C" w14:textId="77777777" w:rsidR="00BB2430" w:rsidRPr="000B2CBE" w:rsidRDefault="00BB2430" w:rsidP="000773D3">
            <w:pPr>
              <w:ind w:firstLine="567"/>
              <w:jc w:val="both"/>
              <w:rPr>
                <w:color w:val="000000" w:themeColor="text1"/>
                <w:lang w:val="ro-RO" w:eastAsia="ro-MD"/>
              </w:rPr>
            </w:pPr>
            <w:r w:rsidRPr="000B2CBE">
              <w:rPr>
                <w:color w:val="000000" w:themeColor="text1"/>
                <w:lang w:val="ro-RO" w:eastAsia="ro-MD"/>
              </w:rPr>
              <w:t> </w:t>
            </w:r>
          </w:p>
          <w:p w14:paraId="20408CF0" w14:textId="77777777" w:rsidR="00BB2430" w:rsidRPr="000B2CBE" w:rsidRDefault="00BB2430" w:rsidP="000773D3">
            <w:pPr>
              <w:jc w:val="center"/>
              <w:rPr>
                <w:b/>
                <w:bCs/>
                <w:color w:val="000000" w:themeColor="text1"/>
                <w:lang w:val="ro-RO" w:eastAsia="ro-MD"/>
              </w:rPr>
            </w:pPr>
            <w:r w:rsidRPr="000B2CBE">
              <w:rPr>
                <w:b/>
                <w:bCs/>
                <w:color w:val="000000" w:themeColor="text1"/>
                <w:lang w:val="ro-RO" w:eastAsia="ro-MD"/>
              </w:rPr>
              <w:t>Alte tipuri de garanții reale sau de expuneri</w:t>
            </w:r>
          </w:p>
          <w:p w14:paraId="676B9220" w14:textId="77777777" w:rsidR="00BB2430" w:rsidRPr="000B2CBE" w:rsidRDefault="00BB2430" w:rsidP="000773D3">
            <w:pPr>
              <w:ind w:firstLine="567"/>
              <w:jc w:val="both"/>
              <w:rPr>
                <w:color w:val="000000" w:themeColor="text1"/>
                <w:lang w:val="ro-RO" w:eastAsia="ro-MD"/>
              </w:rPr>
            </w:pPr>
            <w:r w:rsidRPr="000B2CBE">
              <w:rPr>
                <w:color w:val="000000" w:themeColor="text1"/>
                <w:lang w:val="ro-RO" w:eastAsia="ro-MD"/>
              </w:rPr>
              <w:t> </w:t>
            </w:r>
          </w:p>
        </w:tc>
      </w:tr>
      <w:tr w:rsidR="000B2CBE" w:rsidRPr="00274FFD" w14:paraId="2076267B"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9813A0" w14:textId="77777777" w:rsidR="00BB2430" w:rsidRPr="000B2CBE" w:rsidRDefault="00BB2430" w:rsidP="000773D3">
            <w:pPr>
              <w:jc w:val="center"/>
              <w:rPr>
                <w:b/>
                <w:bCs/>
                <w:color w:val="000000" w:themeColor="text1"/>
                <w:lang w:val="ro-RO" w:eastAsia="ro-MD"/>
              </w:rPr>
            </w:pPr>
            <w:r w:rsidRPr="000B2CBE">
              <w:rPr>
                <w:b/>
                <w:bCs/>
                <w:color w:val="000000" w:themeColor="text1"/>
                <w:lang w:val="ro-RO" w:eastAsia="ro-MD"/>
              </w:rPr>
              <w:t>Tipuri de garanții reale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4B359BF1" w14:textId="77777777" w:rsidR="00BB2430" w:rsidRPr="000B2CBE" w:rsidRDefault="00BB2430" w:rsidP="000773D3">
            <w:pPr>
              <w:jc w:val="center"/>
              <w:rPr>
                <w:b/>
                <w:bCs/>
                <w:color w:val="000000" w:themeColor="text1"/>
                <w:lang w:val="ro-RO" w:eastAsia="ro-MD"/>
              </w:rPr>
            </w:pPr>
            <w:r w:rsidRPr="000B2CBE">
              <w:rPr>
                <w:b/>
                <w:bCs/>
                <w:color w:val="000000" w:themeColor="text1"/>
                <w:lang w:val="ro-RO" w:eastAsia="ro-MD"/>
              </w:rPr>
              <w:t>Perioadă de</w:t>
            </w:r>
            <w:r w:rsidRPr="000B2CBE">
              <w:rPr>
                <w:b/>
                <w:bCs/>
                <w:color w:val="000000" w:themeColor="text1"/>
                <w:lang w:val="ro-RO" w:eastAsia="ro-MD"/>
              </w:rPr>
              <w:br/>
              <w:t>lichidare de 20 zile</w:t>
            </w:r>
            <w:r w:rsidRPr="000B2CBE">
              <w:rPr>
                <w:b/>
                <w:bCs/>
                <w:color w:val="000000" w:themeColor="text1"/>
                <w:lang w:val="ro-RO" w:eastAsia="ro-MD"/>
              </w:rPr>
              <w:br/>
              <w:t>lucrătoare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62AC5CF1" w14:textId="77777777" w:rsidR="00BB2430" w:rsidRPr="000B2CBE" w:rsidRDefault="00BB2430" w:rsidP="000773D3">
            <w:pPr>
              <w:jc w:val="center"/>
              <w:rPr>
                <w:b/>
                <w:bCs/>
                <w:color w:val="000000" w:themeColor="text1"/>
                <w:lang w:val="ro-RO" w:eastAsia="ro-MD"/>
              </w:rPr>
            </w:pPr>
            <w:r w:rsidRPr="000B2CBE">
              <w:rPr>
                <w:b/>
                <w:bCs/>
                <w:color w:val="000000" w:themeColor="text1"/>
                <w:lang w:val="ro-RO" w:eastAsia="ro-MD"/>
              </w:rPr>
              <w:t>Perioadă de</w:t>
            </w:r>
            <w:r w:rsidRPr="000B2CBE">
              <w:rPr>
                <w:b/>
                <w:bCs/>
                <w:color w:val="000000" w:themeColor="text1"/>
                <w:lang w:val="ro-RO" w:eastAsia="ro-MD"/>
              </w:rPr>
              <w:br/>
              <w:t>lichidare de 10 zile</w:t>
            </w:r>
            <w:r w:rsidRPr="000B2CBE">
              <w:rPr>
                <w:b/>
                <w:bCs/>
                <w:color w:val="000000" w:themeColor="text1"/>
                <w:lang w:val="ro-RO" w:eastAsia="ro-MD"/>
              </w:rPr>
              <w:br/>
              <w:t>lucrătoare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9767514" w14:textId="77777777" w:rsidR="00BB2430" w:rsidRPr="000B2CBE" w:rsidRDefault="00BB2430" w:rsidP="000773D3">
            <w:pPr>
              <w:jc w:val="center"/>
              <w:rPr>
                <w:b/>
                <w:bCs/>
                <w:color w:val="000000" w:themeColor="text1"/>
                <w:lang w:val="ro-RO" w:eastAsia="ro-MD"/>
              </w:rPr>
            </w:pPr>
            <w:r w:rsidRPr="000B2CBE">
              <w:rPr>
                <w:b/>
                <w:bCs/>
                <w:color w:val="000000" w:themeColor="text1"/>
                <w:lang w:val="ro-RO" w:eastAsia="ro-MD"/>
              </w:rPr>
              <w:t>Perioadă de</w:t>
            </w:r>
            <w:r w:rsidRPr="000B2CBE">
              <w:rPr>
                <w:b/>
                <w:bCs/>
                <w:color w:val="000000" w:themeColor="text1"/>
                <w:lang w:val="ro-RO" w:eastAsia="ro-MD"/>
              </w:rPr>
              <w:br/>
              <w:t>lichidare de 5 zile</w:t>
            </w:r>
            <w:r w:rsidRPr="000B2CBE">
              <w:rPr>
                <w:b/>
                <w:bCs/>
                <w:color w:val="000000" w:themeColor="text1"/>
                <w:lang w:val="ro-RO" w:eastAsia="ro-MD"/>
              </w:rPr>
              <w:br/>
              <w:t>lucrătoare (%)</w:t>
            </w:r>
          </w:p>
        </w:tc>
      </w:tr>
      <w:tr w:rsidR="000B2CBE" w:rsidRPr="000B2CBE" w14:paraId="13392177"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F0895" w14:textId="77777777" w:rsidR="00BB2430" w:rsidRPr="000B2CBE" w:rsidRDefault="00BB2430" w:rsidP="000773D3">
            <w:pPr>
              <w:rPr>
                <w:color w:val="000000" w:themeColor="text1"/>
                <w:lang w:val="ro-RO" w:eastAsia="ro-MD"/>
              </w:rPr>
            </w:pPr>
            <w:r w:rsidRPr="000B2CBE">
              <w:rPr>
                <w:color w:val="000000" w:themeColor="text1"/>
                <w:lang w:val="ro-RO" w:eastAsia="ro-MD"/>
              </w:rPr>
              <w:t>Titluri de capital incluse într-un indice principal, obligațiuni convertibile incluse într-un indice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93C68"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28,284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F3A6D"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11681"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14,142</w:t>
            </w:r>
          </w:p>
        </w:tc>
      </w:tr>
      <w:tr w:rsidR="000B2CBE" w:rsidRPr="000B2CBE" w14:paraId="508B53AE"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59A77" w14:textId="77777777" w:rsidR="00BB2430" w:rsidRPr="000B2CBE" w:rsidRDefault="00BB2430" w:rsidP="000773D3">
            <w:pPr>
              <w:rPr>
                <w:color w:val="000000" w:themeColor="text1"/>
                <w:lang w:val="ro-RO" w:eastAsia="ro-MD"/>
              </w:rPr>
            </w:pPr>
            <w:r w:rsidRPr="000B2CBE">
              <w:rPr>
                <w:color w:val="000000" w:themeColor="text1"/>
                <w:lang w:val="ro-RO" w:eastAsia="ro-MD"/>
              </w:rPr>
              <w:t>Alte titluri de capital sau obligațiuni convertibile cotate la o bursă recunoscută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37E9A"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42,426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CBCB4"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0084D"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21,213</w:t>
            </w:r>
          </w:p>
        </w:tc>
      </w:tr>
      <w:tr w:rsidR="000B2CBE" w:rsidRPr="000B2CBE" w14:paraId="434F55BE"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60EA9" w14:textId="77777777" w:rsidR="00BB2430" w:rsidRPr="000B2CBE" w:rsidRDefault="00BB2430" w:rsidP="000773D3">
            <w:pPr>
              <w:rPr>
                <w:color w:val="000000" w:themeColor="text1"/>
                <w:lang w:val="ro-RO" w:eastAsia="ro-MD"/>
              </w:rPr>
            </w:pPr>
            <w:r w:rsidRPr="000B2CBE">
              <w:rPr>
                <w:color w:val="000000" w:themeColor="text1"/>
                <w:lang w:val="ro-RO" w:eastAsia="ro-MD"/>
              </w:rPr>
              <w:t>Mijloace bănești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D11B5"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D1BF4"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63942"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0</w:t>
            </w:r>
          </w:p>
        </w:tc>
      </w:tr>
      <w:tr w:rsidR="000B2CBE" w:rsidRPr="000B2CBE" w14:paraId="664B54CB"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3FC6" w14:textId="77777777" w:rsidR="00BB2430" w:rsidRPr="000B2CBE" w:rsidRDefault="00BB2430" w:rsidP="000773D3">
            <w:pPr>
              <w:rPr>
                <w:color w:val="000000" w:themeColor="text1"/>
                <w:lang w:val="ro-RO" w:eastAsia="ro-MD"/>
              </w:rPr>
            </w:pPr>
            <w:r w:rsidRPr="000B2CBE">
              <w:rPr>
                <w:color w:val="000000" w:themeColor="text1"/>
                <w:lang w:val="ro-RO" w:eastAsia="ro-MD"/>
              </w:rPr>
              <w:t>Aur lingouri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08264"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28,284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3303"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CB728" w14:textId="77777777" w:rsidR="00BB2430" w:rsidRPr="000B2CBE" w:rsidRDefault="00BB2430" w:rsidP="000773D3">
            <w:pPr>
              <w:jc w:val="center"/>
              <w:rPr>
                <w:color w:val="000000" w:themeColor="text1"/>
                <w:lang w:val="ro-RO" w:eastAsia="ro-MD"/>
              </w:rPr>
            </w:pPr>
            <w:r w:rsidRPr="000B2CBE">
              <w:rPr>
                <w:color w:val="000000" w:themeColor="text1"/>
                <w:lang w:val="ro-RO" w:eastAsia="ro-MD"/>
              </w:rPr>
              <w:t>14,142</w:t>
            </w:r>
          </w:p>
        </w:tc>
      </w:tr>
    </w:tbl>
    <w:p w14:paraId="7BB686EE" w14:textId="79EA0ABA" w:rsidR="00BB2430" w:rsidRPr="000B2CBE" w:rsidRDefault="00BB2430" w:rsidP="00BB2430">
      <w:pPr>
        <w:tabs>
          <w:tab w:val="left" w:pos="567"/>
        </w:tabs>
        <w:spacing w:before="80"/>
        <w:jc w:val="both"/>
        <w:rPr>
          <w:color w:val="000000" w:themeColor="text1"/>
          <w:lang w:val="ro-MD"/>
        </w:rPr>
      </w:pPr>
      <w:r w:rsidRPr="000B2CBE">
        <w:rPr>
          <w:color w:val="000000" w:themeColor="text1"/>
          <w:lang w:val="ro-MD"/>
        </w:rPr>
        <w:t xml:space="preserve"> </w:t>
      </w:r>
    </w:p>
    <w:p w14:paraId="4C8727E8" w14:textId="4969B9D9" w:rsidR="008A1582" w:rsidRPr="000B2CBE" w:rsidRDefault="008A1582" w:rsidP="00CB36D2">
      <w:pPr>
        <w:pStyle w:val="ListParagraph"/>
        <w:numPr>
          <w:ilvl w:val="2"/>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Denumirea tabelului nr.4 se completează cu textul „</w:t>
      </w:r>
      <w:r w:rsidRPr="000B2CBE">
        <w:rPr>
          <w:b/>
          <w:bCs/>
          <w:color w:val="000000" w:themeColor="text1"/>
          <w:lang w:val="ro-RO" w:eastAsia="ro-MD"/>
        </w:rPr>
        <w:t>(</w:t>
      </w:r>
      <w:proofErr w:type="spellStart"/>
      <w:r w:rsidRPr="000B2CBE">
        <w:rPr>
          <w:b/>
          <w:bCs/>
          <w:color w:val="000000" w:themeColor="text1"/>
          <w:lang w:val="ro-RO" w:eastAsia="ro-MD"/>
        </w:rPr>
        <w:t>H</w:t>
      </w:r>
      <w:r w:rsidRPr="000B2CBE">
        <w:rPr>
          <w:b/>
          <w:bCs/>
          <w:color w:val="000000" w:themeColor="text1"/>
          <w:vertAlign w:val="subscript"/>
          <w:lang w:val="ro-RO" w:eastAsia="ro-MD"/>
        </w:rPr>
        <w:t>fx</w:t>
      </w:r>
      <w:proofErr w:type="spellEnd"/>
      <w:r w:rsidRPr="000B2CBE">
        <w:rPr>
          <w:b/>
          <w:bCs/>
          <w:color w:val="000000" w:themeColor="text1"/>
          <w:lang w:val="ro-RO" w:eastAsia="ro-MD"/>
        </w:rPr>
        <w:t>)</w:t>
      </w:r>
      <w:r w:rsidRPr="000B2CBE">
        <w:rPr>
          <w:color w:val="000000" w:themeColor="text1"/>
          <w:lang w:val="ro-RO" w:eastAsia="ro-MD"/>
        </w:rPr>
        <w:t>”.</w:t>
      </w:r>
    </w:p>
    <w:p w14:paraId="0BB88D20" w14:textId="2AAE8635" w:rsidR="0091180D" w:rsidRPr="000B2CBE" w:rsidRDefault="00483623"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Se completează cu punctul 96</w:t>
      </w:r>
      <w:r w:rsidRPr="000B2CBE">
        <w:rPr>
          <w:color w:val="000000" w:themeColor="text1"/>
          <w:vertAlign w:val="superscript"/>
          <w:lang w:val="ro-MD"/>
        </w:rPr>
        <w:t>1</w:t>
      </w:r>
      <w:r w:rsidRPr="000B2CBE">
        <w:rPr>
          <w:color w:val="000000" w:themeColor="text1"/>
          <w:lang w:val="ro-MD"/>
        </w:rPr>
        <w:t xml:space="preserve"> cu următorul cuprins:</w:t>
      </w:r>
    </w:p>
    <w:p w14:paraId="7023DDC0" w14:textId="2A3291D2" w:rsidR="00483623" w:rsidRPr="000B2CBE" w:rsidRDefault="00483623" w:rsidP="00483623">
      <w:pPr>
        <w:tabs>
          <w:tab w:val="left" w:pos="567"/>
        </w:tabs>
        <w:jc w:val="both"/>
        <w:rPr>
          <w:color w:val="000000" w:themeColor="text1"/>
          <w:lang w:val="ro-MD"/>
        </w:rPr>
      </w:pPr>
      <w:r w:rsidRPr="000B2CBE">
        <w:rPr>
          <w:color w:val="000000" w:themeColor="text1"/>
          <w:lang w:val="ro-MD"/>
        </w:rPr>
        <w:t>„</w:t>
      </w:r>
      <w:r w:rsidRPr="000B2CBE">
        <w:rPr>
          <w:b/>
          <w:bCs/>
          <w:color w:val="000000" w:themeColor="text1"/>
          <w:lang w:val="ro-RO" w:eastAsia="ro-MD"/>
        </w:rPr>
        <w:t>96</w:t>
      </w:r>
      <w:r w:rsidRPr="000B2CBE">
        <w:rPr>
          <w:b/>
          <w:bCs/>
          <w:color w:val="000000" w:themeColor="text1"/>
          <w:vertAlign w:val="superscript"/>
          <w:lang w:val="ro-RO" w:eastAsia="ro-MD"/>
        </w:rPr>
        <w:t>1</w:t>
      </w:r>
      <w:r w:rsidRPr="000B2CBE">
        <w:rPr>
          <w:b/>
          <w:bCs/>
          <w:color w:val="000000" w:themeColor="text1"/>
          <w:lang w:val="ro-RO" w:eastAsia="ro-MD"/>
        </w:rPr>
        <w:t>.</w:t>
      </w:r>
      <w:r w:rsidRPr="000B2CBE">
        <w:rPr>
          <w:color w:val="000000" w:themeColor="text1"/>
          <w:lang w:val="ro-RO" w:eastAsia="ro-MD"/>
        </w:rPr>
        <w:t xml:space="preserve"> Dacă banca are o tranzacție sau un set de compensare care îndeplinesc criteriile aferente valorii expunerii pentru seturile de compensare care fac obiectul unui contract în marjă stabilite conform actelor normative ale Băncii Naționale a Moldovei aferente tratamentului riscului de credit al </w:t>
      </w:r>
      <w:proofErr w:type="spellStart"/>
      <w:r w:rsidRPr="000B2CBE">
        <w:rPr>
          <w:color w:val="000000" w:themeColor="text1"/>
          <w:lang w:val="ro-RO" w:eastAsia="ro-MD"/>
        </w:rPr>
        <w:t>contrapărții</w:t>
      </w:r>
      <w:proofErr w:type="spellEnd"/>
      <w:r w:rsidRPr="000B2CBE">
        <w:rPr>
          <w:color w:val="000000" w:themeColor="text1"/>
          <w:lang w:val="ro-RO" w:eastAsia="ro-MD"/>
        </w:rPr>
        <w:t>, perioada minimă de deținere trebuie aliniată cu perioada de risc de marjă care s-ar aplica în conformitate cu aceste criterii.”.</w:t>
      </w:r>
    </w:p>
    <w:p w14:paraId="5DDD9D94" w14:textId="02F8DB68" w:rsidR="00483623" w:rsidRPr="000B2CBE" w:rsidRDefault="00BB2430"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punctul 104 subpunctul 7)</w:t>
      </w:r>
      <w:r w:rsidR="006952B7">
        <w:rPr>
          <w:color w:val="000000" w:themeColor="text1"/>
          <w:lang w:val="ro-MD"/>
        </w:rPr>
        <w:t>,</w:t>
      </w:r>
      <w:r w:rsidRPr="000B2CBE">
        <w:rPr>
          <w:color w:val="000000" w:themeColor="text1"/>
          <w:lang w:val="ro-MD"/>
        </w:rPr>
        <w:t xml:space="preserve"> cuvântul „rezilierea” se substituie cu cuvântul „rezoluțiunea”</w:t>
      </w:r>
      <w:r w:rsidR="00CB36D2" w:rsidRPr="000B2CBE">
        <w:rPr>
          <w:color w:val="000000" w:themeColor="text1"/>
          <w:lang w:val="ro-MD"/>
        </w:rPr>
        <w:t>, iar cuvântul „furniza”</w:t>
      </w:r>
      <w:r w:rsidR="005E1CEA" w:rsidRPr="000B2CBE">
        <w:rPr>
          <w:color w:val="000000" w:themeColor="text1"/>
          <w:lang w:val="ro-MD"/>
        </w:rPr>
        <w:t xml:space="preserve"> </w:t>
      </w:r>
      <w:r w:rsidR="0012034E" w:rsidRPr="000B2CBE">
        <w:rPr>
          <w:color w:val="000000" w:themeColor="text1"/>
          <w:lang w:val="ro-MD"/>
        </w:rPr>
        <w:t>se substituie cu cuvintele „</w:t>
      </w:r>
      <w:r w:rsidR="0012034E" w:rsidRPr="000B2CBE">
        <w:rPr>
          <w:color w:val="000000" w:themeColor="text1"/>
          <w:lang w:val="ro-RO" w:eastAsia="ro-MD"/>
        </w:rPr>
        <w:t>da curs apelului în”</w:t>
      </w:r>
      <w:r w:rsidR="00BF76A9" w:rsidRPr="000B2CBE">
        <w:rPr>
          <w:color w:val="000000" w:themeColor="text1"/>
          <w:lang w:val="ro-RO" w:eastAsia="ro-MD"/>
        </w:rPr>
        <w:t>.</w:t>
      </w:r>
    </w:p>
    <w:p w14:paraId="20443860" w14:textId="03E09C3F" w:rsidR="00BF76A9" w:rsidRPr="000B2CBE" w:rsidRDefault="00BF76A9"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RO" w:eastAsia="ro-MD"/>
        </w:rPr>
        <w:t>Se completează cu punctul 104</w:t>
      </w:r>
      <w:r w:rsidRPr="000B2CBE">
        <w:rPr>
          <w:color w:val="000000" w:themeColor="text1"/>
          <w:vertAlign w:val="superscript"/>
          <w:lang w:val="ro-RO" w:eastAsia="ro-MD"/>
        </w:rPr>
        <w:t>1</w:t>
      </w:r>
      <w:r w:rsidRPr="000B2CBE">
        <w:rPr>
          <w:color w:val="000000" w:themeColor="text1"/>
          <w:lang w:val="ro-RO" w:eastAsia="ro-MD"/>
        </w:rPr>
        <w:t xml:space="preserve"> cu următorul cuprins:</w:t>
      </w:r>
    </w:p>
    <w:p w14:paraId="0027C5C0" w14:textId="7E8FEB65" w:rsidR="00BF76A9" w:rsidRPr="000B2CBE" w:rsidRDefault="00BF76A9" w:rsidP="00B65F07">
      <w:pPr>
        <w:tabs>
          <w:tab w:val="left" w:pos="567"/>
        </w:tabs>
        <w:jc w:val="both"/>
        <w:rPr>
          <w:color w:val="000000" w:themeColor="text1"/>
          <w:lang w:val="ro-MD"/>
        </w:rPr>
      </w:pPr>
      <w:r w:rsidRPr="000B2CBE">
        <w:rPr>
          <w:color w:val="000000" w:themeColor="text1"/>
          <w:lang w:val="ro-MD"/>
        </w:rPr>
        <w:t>„</w:t>
      </w:r>
      <w:r w:rsidRPr="000B2CBE">
        <w:rPr>
          <w:b/>
          <w:bCs/>
          <w:color w:val="000000" w:themeColor="text1"/>
          <w:lang w:val="ro-RO" w:eastAsia="ro-MD"/>
        </w:rPr>
        <w:t>104</w:t>
      </w:r>
      <w:r w:rsidRPr="000B2CBE">
        <w:rPr>
          <w:b/>
          <w:bCs/>
          <w:color w:val="000000" w:themeColor="text1"/>
          <w:vertAlign w:val="superscript"/>
          <w:lang w:val="ro-RO" w:eastAsia="ro-MD"/>
        </w:rPr>
        <w:t>1</w:t>
      </w:r>
      <w:r w:rsidRPr="000B2CBE">
        <w:rPr>
          <w:b/>
          <w:bCs/>
          <w:color w:val="000000" w:themeColor="text1"/>
          <w:lang w:val="ro-RO" w:eastAsia="ro-MD"/>
        </w:rPr>
        <w:t>.</w:t>
      </w:r>
      <w:r w:rsidRPr="000B2CBE">
        <w:rPr>
          <w:color w:val="000000" w:themeColor="text1"/>
          <w:lang w:val="ro-RO" w:eastAsia="ro-MD"/>
        </w:rPr>
        <w:t xml:space="preserve"> Băncile care utilizează abordarea bazată pe modele interne prevăzută la secțiunea 2</w:t>
      </w:r>
      <w:r w:rsidRPr="000B2CBE">
        <w:rPr>
          <w:color w:val="000000" w:themeColor="text1"/>
          <w:vertAlign w:val="superscript"/>
          <w:lang w:val="ro-RO" w:eastAsia="ro-MD"/>
        </w:rPr>
        <w:t>1</w:t>
      </w:r>
      <w:r w:rsidRPr="000B2CBE">
        <w:rPr>
          <w:color w:val="000000" w:themeColor="text1"/>
          <w:lang w:val="ro-RO" w:eastAsia="ro-MD"/>
        </w:rPr>
        <w:t xml:space="preserve"> din prezentul capitol nu utilizează tratamentul stabilit în prezenta secțiune.”.</w:t>
      </w:r>
    </w:p>
    <w:p w14:paraId="7F3AC37C" w14:textId="65D70BF9" w:rsidR="00BF76A9" w:rsidRPr="000B2CBE" w:rsidRDefault="00C01A5F"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RO" w:eastAsia="ro-MD"/>
        </w:rPr>
        <w:t>P</w:t>
      </w:r>
      <w:r w:rsidR="00E83175" w:rsidRPr="000B2CBE">
        <w:rPr>
          <w:color w:val="000000" w:themeColor="text1"/>
          <w:lang w:val="ro-RO" w:eastAsia="ro-MD"/>
        </w:rPr>
        <w:t>unctul 105:</w:t>
      </w:r>
    </w:p>
    <w:p w14:paraId="118F389E" w14:textId="582539AA" w:rsidR="00E83175" w:rsidRPr="000B2CBE" w:rsidRDefault="00C01A5F" w:rsidP="00B65F07">
      <w:pPr>
        <w:pStyle w:val="ListParagraph"/>
        <w:numPr>
          <w:ilvl w:val="2"/>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subpunctele 2) - 5)</w:t>
      </w:r>
      <w:r w:rsidR="006952B7">
        <w:rPr>
          <w:color w:val="000000" w:themeColor="text1"/>
          <w:lang w:val="ro-MD"/>
        </w:rPr>
        <w:t>,</w:t>
      </w:r>
      <w:r w:rsidRPr="000B2CBE">
        <w:rPr>
          <w:color w:val="000000" w:themeColor="text1"/>
          <w:lang w:val="ro-MD"/>
        </w:rPr>
        <w:t xml:space="preserve"> cuvintele „din Republica Moldova” se exclud;</w:t>
      </w:r>
    </w:p>
    <w:p w14:paraId="620E1A6C" w14:textId="3A85FE4F" w:rsidR="00C01A5F" w:rsidRPr="000B2CBE" w:rsidRDefault="00C01A5F" w:rsidP="00B65F07">
      <w:pPr>
        <w:pStyle w:val="ListParagraph"/>
        <w:numPr>
          <w:ilvl w:val="2"/>
          <w:numId w:val="27"/>
        </w:numPr>
        <w:tabs>
          <w:tab w:val="left" w:pos="0"/>
        </w:tabs>
        <w:spacing w:before="80"/>
        <w:ind w:left="0" w:firstLine="567"/>
        <w:contextualSpacing w:val="0"/>
        <w:jc w:val="both"/>
        <w:rPr>
          <w:color w:val="000000" w:themeColor="text1"/>
          <w:lang w:val="ro-MD"/>
        </w:rPr>
      </w:pPr>
      <w:r w:rsidRPr="000B2CBE">
        <w:rPr>
          <w:color w:val="000000" w:themeColor="text1"/>
          <w:lang w:val="ro-MD"/>
        </w:rPr>
        <w:t>se completează cu subpunctele 2</w:t>
      </w:r>
      <w:r w:rsidRPr="000B2CBE">
        <w:rPr>
          <w:color w:val="000000" w:themeColor="text1"/>
          <w:vertAlign w:val="superscript"/>
          <w:lang w:val="ro-MD"/>
        </w:rPr>
        <w:t>1</w:t>
      </w:r>
      <w:r w:rsidRPr="000B2CBE">
        <w:rPr>
          <w:color w:val="000000" w:themeColor="text1"/>
          <w:lang w:val="ro-MD"/>
        </w:rPr>
        <w:t>) și 2</w:t>
      </w:r>
      <w:r w:rsidRPr="000B2CBE">
        <w:rPr>
          <w:color w:val="000000" w:themeColor="text1"/>
          <w:vertAlign w:val="superscript"/>
          <w:lang w:val="ro-MD"/>
        </w:rPr>
        <w:t>2</w:t>
      </w:r>
      <w:r w:rsidRPr="000B2CBE">
        <w:rPr>
          <w:color w:val="000000" w:themeColor="text1"/>
          <w:lang w:val="ro-MD"/>
        </w:rPr>
        <w:t>) cu următorul cuprins:</w:t>
      </w:r>
    </w:p>
    <w:p w14:paraId="4542832C" w14:textId="4539810A" w:rsidR="00C01A5F" w:rsidRPr="000B2CBE" w:rsidRDefault="00C01A5F" w:rsidP="00C01A5F">
      <w:pPr>
        <w:jc w:val="both"/>
        <w:rPr>
          <w:color w:val="000000" w:themeColor="text1"/>
          <w:sz w:val="18"/>
          <w:szCs w:val="18"/>
          <w:lang w:val="ro-RO" w:eastAsia="ro-MD"/>
        </w:rPr>
      </w:pPr>
      <w:r w:rsidRPr="000B2CBE">
        <w:rPr>
          <w:color w:val="000000" w:themeColor="text1"/>
          <w:lang w:val="ro-MD"/>
        </w:rPr>
        <w:t>„</w:t>
      </w:r>
      <w:r w:rsidRPr="000B2CBE">
        <w:rPr>
          <w:color w:val="000000" w:themeColor="text1"/>
          <w:lang w:val="ro-RO" w:eastAsia="ro-MD"/>
        </w:rPr>
        <w:t>2</w:t>
      </w:r>
      <w:r w:rsidRPr="000B2CBE">
        <w:rPr>
          <w:color w:val="000000" w:themeColor="text1"/>
          <w:vertAlign w:val="superscript"/>
          <w:lang w:val="ro-RO" w:eastAsia="ro-MD"/>
        </w:rPr>
        <w:t>1</w:t>
      </w:r>
      <w:r w:rsidRPr="000B2CBE">
        <w:rPr>
          <w:color w:val="000000" w:themeColor="text1"/>
          <w:lang w:val="ro-RO" w:eastAsia="ro-MD"/>
        </w:rPr>
        <w:t>) societăți de investiții;</w:t>
      </w:r>
    </w:p>
    <w:p w14:paraId="7C6A3B07" w14:textId="1B839F0E" w:rsidR="00C01A5F" w:rsidRPr="000B2CBE" w:rsidRDefault="00C01A5F" w:rsidP="00C01A5F">
      <w:pPr>
        <w:tabs>
          <w:tab w:val="left" w:pos="567"/>
        </w:tabs>
        <w:spacing w:before="80"/>
        <w:jc w:val="both"/>
        <w:rPr>
          <w:color w:val="000000" w:themeColor="text1"/>
          <w:lang w:val="ro-MD"/>
        </w:rPr>
      </w:pPr>
      <w:r w:rsidRPr="000B2CBE">
        <w:rPr>
          <w:color w:val="000000" w:themeColor="text1"/>
          <w:lang w:val="ro-RO" w:eastAsia="ro-MD"/>
        </w:rPr>
        <w:t>2</w:t>
      </w:r>
      <w:r w:rsidRPr="000B2CBE">
        <w:rPr>
          <w:color w:val="000000" w:themeColor="text1"/>
          <w:vertAlign w:val="superscript"/>
          <w:lang w:val="ro-RO" w:eastAsia="ro-MD"/>
        </w:rPr>
        <w:t>2</w:t>
      </w:r>
      <w:r w:rsidRPr="000B2CBE">
        <w:rPr>
          <w:color w:val="000000" w:themeColor="text1"/>
          <w:lang w:val="ro-RO" w:eastAsia="ro-MD"/>
        </w:rPr>
        <w:t xml:space="preserve">) alte întreprinderi financiare care reprezintă o întreprindere de asigurare sau de reasigurare, un holding de asigurare sau un holding financiar mixt, dacă expunerilor față de acestea li se atribuie o pondere de risc de 20 % conform abordării standardizate, sau întreprinderi care, în cazul băncilor care calculează valorile ponderate la risc ale expunerilor și cuantumurile pierderilor așteptate conform </w:t>
      </w:r>
      <w:r w:rsidRPr="000B2CBE">
        <w:rPr>
          <w:color w:val="000000" w:themeColor="text1"/>
          <w:lang w:val="ro-RO" w:eastAsia="ro-MD"/>
        </w:rPr>
        <w:lastRenderedPageBreak/>
        <w:t>abordării IRB, nu au o evaluare a creditului efectuată de o ECAI recunoscută și sunt evaluate intern de către bancă;”.</w:t>
      </w:r>
    </w:p>
    <w:p w14:paraId="75879158" w14:textId="486BF858" w:rsidR="00BF76A9" w:rsidRPr="000B2CBE" w:rsidRDefault="00625B28"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La capitolul VIII denumirea secțiunii a 9-a se completează cu cuvintele „</w:t>
      </w:r>
      <w:r w:rsidRPr="000B2CBE">
        <w:rPr>
          <w:b/>
          <w:bCs/>
          <w:i/>
          <w:iCs/>
          <w:color w:val="000000" w:themeColor="text1"/>
          <w:lang w:val="ro-RO" w:eastAsia="ro-MD"/>
        </w:rPr>
        <w:t>pentru expunerile tratate conform abordării standardizate</w:t>
      </w:r>
      <w:r w:rsidRPr="000B2CBE">
        <w:rPr>
          <w:color w:val="000000" w:themeColor="text1"/>
          <w:lang w:val="ro-MD"/>
        </w:rPr>
        <w:t>”.</w:t>
      </w:r>
    </w:p>
    <w:p w14:paraId="53A46335" w14:textId="58DC322E" w:rsidR="00625B28" w:rsidRPr="000B2CBE" w:rsidRDefault="00625B28"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MD"/>
        </w:rPr>
        <w:t xml:space="preserve">Punctul 106 se completează </w:t>
      </w:r>
      <w:r w:rsidR="004F20E8" w:rsidRPr="000B2CBE">
        <w:rPr>
          <w:color w:val="000000" w:themeColor="text1"/>
          <w:lang w:val="ro-MD"/>
        </w:rPr>
        <w:t>la început cu textul „</w:t>
      </w:r>
      <w:r w:rsidR="004F20E8" w:rsidRPr="000B2CBE">
        <w:rPr>
          <w:color w:val="000000" w:themeColor="text1"/>
          <w:lang w:val="ro-RO" w:eastAsia="ro-MD"/>
        </w:rPr>
        <w:t>În cadrul abordării standardizate,”.</w:t>
      </w:r>
    </w:p>
    <w:p w14:paraId="04774D94" w14:textId="7C3876CE" w:rsidR="004F20E8" w:rsidRPr="000B2CBE" w:rsidRDefault="004F20E8"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0B2CBE">
        <w:rPr>
          <w:color w:val="000000" w:themeColor="text1"/>
          <w:lang w:val="ro-RO" w:eastAsia="ro-MD"/>
        </w:rPr>
        <w:t xml:space="preserve">Capitolul VIII se </w:t>
      </w:r>
      <w:r w:rsidR="006013DB" w:rsidRPr="000B2CBE">
        <w:rPr>
          <w:color w:val="000000" w:themeColor="text1"/>
          <w:lang w:val="ro-RO" w:eastAsia="ro-MD"/>
        </w:rPr>
        <w:t>completează cu secțiun</w:t>
      </w:r>
      <w:r w:rsidR="007E6E1A" w:rsidRPr="000B2CBE">
        <w:rPr>
          <w:color w:val="000000" w:themeColor="text1"/>
          <w:lang w:val="ro-RO" w:eastAsia="ro-MD"/>
        </w:rPr>
        <w:t>ile</w:t>
      </w:r>
      <w:r w:rsidR="006013DB" w:rsidRPr="000B2CBE">
        <w:rPr>
          <w:color w:val="000000" w:themeColor="text1"/>
          <w:lang w:val="ro-RO" w:eastAsia="ro-MD"/>
        </w:rPr>
        <w:t xml:space="preserve"> 9</w:t>
      </w:r>
      <w:r w:rsidR="006013DB" w:rsidRPr="000B2CBE">
        <w:rPr>
          <w:color w:val="000000" w:themeColor="text1"/>
          <w:vertAlign w:val="superscript"/>
          <w:lang w:val="ro-RO" w:eastAsia="ro-MD"/>
        </w:rPr>
        <w:t>1</w:t>
      </w:r>
      <w:r w:rsidR="007E6E1A" w:rsidRPr="000B2CBE">
        <w:rPr>
          <w:color w:val="000000" w:themeColor="text1"/>
          <w:lang w:val="ro-RO" w:eastAsia="ro-MD"/>
        </w:rPr>
        <w:t>, 9</w:t>
      </w:r>
      <w:r w:rsidR="007E6E1A" w:rsidRPr="000B2CBE">
        <w:rPr>
          <w:color w:val="000000" w:themeColor="text1"/>
          <w:vertAlign w:val="superscript"/>
          <w:lang w:val="ro-RO" w:eastAsia="ro-MD"/>
        </w:rPr>
        <w:t>2</w:t>
      </w:r>
      <w:r w:rsidR="007E6E1A" w:rsidRPr="000B2CBE">
        <w:rPr>
          <w:color w:val="000000" w:themeColor="text1"/>
          <w:lang w:val="ro-RO" w:eastAsia="ro-MD"/>
        </w:rPr>
        <w:t xml:space="preserve"> și 9</w:t>
      </w:r>
      <w:r w:rsidR="007E6E1A" w:rsidRPr="000B2CBE">
        <w:rPr>
          <w:color w:val="000000" w:themeColor="text1"/>
          <w:vertAlign w:val="superscript"/>
          <w:lang w:val="ro-RO" w:eastAsia="ro-MD"/>
        </w:rPr>
        <w:t>3</w:t>
      </w:r>
      <w:r w:rsidR="007E6E1A" w:rsidRPr="000B2CBE">
        <w:rPr>
          <w:color w:val="000000" w:themeColor="text1"/>
          <w:lang w:val="ro-RO" w:eastAsia="ro-MD"/>
        </w:rPr>
        <w:t xml:space="preserve"> cu următorul cuprins:</w:t>
      </w:r>
    </w:p>
    <w:p w14:paraId="265A37E0" w14:textId="77777777" w:rsidR="006F667E" w:rsidRPr="000B2CBE" w:rsidRDefault="007E6E1A" w:rsidP="006F667E">
      <w:pPr>
        <w:jc w:val="center"/>
        <w:rPr>
          <w:color w:val="000000" w:themeColor="text1"/>
          <w:lang w:val="ro-RO" w:eastAsia="ro-MD"/>
        </w:rPr>
      </w:pPr>
      <w:r w:rsidRPr="000B2CBE">
        <w:rPr>
          <w:color w:val="000000" w:themeColor="text1"/>
          <w:lang w:val="ro-RO"/>
        </w:rPr>
        <w:t>„</w:t>
      </w:r>
      <w:r w:rsidR="006F667E" w:rsidRPr="000B2CBE">
        <w:rPr>
          <w:color w:val="000000" w:themeColor="text1"/>
          <w:lang w:val="ro-RO" w:eastAsia="ro-MD"/>
        </w:rPr>
        <w:t> </w:t>
      </w:r>
      <w:r w:rsidR="006F667E" w:rsidRPr="000B2CBE">
        <w:rPr>
          <w:b/>
          <w:bCs/>
          <w:i/>
          <w:iCs/>
          <w:color w:val="000000" w:themeColor="text1"/>
          <w:lang w:val="ro-RO" w:eastAsia="ro-MD"/>
        </w:rPr>
        <w:t>Secțiunea a 9</w:t>
      </w:r>
      <w:r w:rsidR="006F667E" w:rsidRPr="000B2CBE">
        <w:rPr>
          <w:b/>
          <w:bCs/>
          <w:i/>
          <w:iCs/>
          <w:color w:val="000000" w:themeColor="text1"/>
          <w:vertAlign w:val="superscript"/>
          <w:lang w:val="ro-RO" w:eastAsia="ro-MD"/>
        </w:rPr>
        <w:t>1</w:t>
      </w:r>
      <w:r w:rsidR="006F667E" w:rsidRPr="000B2CBE">
        <w:rPr>
          <w:b/>
          <w:bCs/>
          <w:i/>
          <w:iCs/>
          <w:color w:val="000000" w:themeColor="text1"/>
          <w:lang w:val="ro-RO" w:eastAsia="ro-MD"/>
        </w:rPr>
        <w:t>-a</w:t>
      </w:r>
    </w:p>
    <w:p w14:paraId="6E1E6264" w14:textId="77777777" w:rsidR="006F667E" w:rsidRPr="000B2CBE" w:rsidRDefault="006F667E" w:rsidP="006F667E">
      <w:pPr>
        <w:jc w:val="center"/>
        <w:rPr>
          <w:color w:val="000000" w:themeColor="text1"/>
          <w:lang w:val="ro-RO" w:eastAsia="ro-MD"/>
        </w:rPr>
      </w:pPr>
      <w:r w:rsidRPr="000B2CBE">
        <w:rPr>
          <w:b/>
          <w:bCs/>
          <w:i/>
          <w:iCs/>
          <w:color w:val="000000" w:themeColor="text1"/>
          <w:lang w:val="ro-RO" w:eastAsia="ro-MD"/>
        </w:rPr>
        <w:t>Principii de evaluare pentru garanțiile reale eligibile, altele decât garanțiile financiare</w:t>
      </w:r>
    </w:p>
    <w:p w14:paraId="1EB18440" w14:textId="77777777" w:rsidR="006F667E" w:rsidRPr="000B2CBE" w:rsidRDefault="006F667E" w:rsidP="006F667E">
      <w:pPr>
        <w:pStyle w:val="title-article-norm"/>
        <w:shd w:val="clear" w:color="auto" w:fill="FFFFFF"/>
        <w:spacing w:before="0" w:beforeAutospacing="0" w:after="0" w:afterAutospacing="0" w:line="312" w:lineRule="atLeast"/>
        <w:jc w:val="both"/>
        <w:rPr>
          <w:rFonts w:eastAsia="Arial Unicode MS"/>
          <w:color w:val="000000" w:themeColor="text1"/>
          <w:lang w:val="ro-RO"/>
        </w:rPr>
      </w:pPr>
      <w:r w:rsidRPr="000B2CBE">
        <w:rPr>
          <w:b/>
          <w:bCs/>
          <w:color w:val="000000" w:themeColor="text1"/>
          <w:lang w:val="ro-RO"/>
          <w14:ligatures w14:val="none"/>
        </w:rPr>
        <w:t>107</w:t>
      </w:r>
      <w:r w:rsidRPr="000B2CBE">
        <w:rPr>
          <w:b/>
          <w:bCs/>
          <w:color w:val="000000" w:themeColor="text1"/>
          <w:vertAlign w:val="superscript"/>
          <w:lang w:val="ro-RO"/>
          <w14:ligatures w14:val="none"/>
        </w:rPr>
        <w:t>1</w:t>
      </w:r>
      <w:r w:rsidRPr="000B2CBE">
        <w:rPr>
          <w:b/>
          <w:bCs/>
          <w:color w:val="000000" w:themeColor="text1"/>
          <w:lang w:val="ro-RO"/>
          <w14:ligatures w14:val="none"/>
        </w:rPr>
        <w:t xml:space="preserve">. </w:t>
      </w:r>
      <w:r w:rsidRPr="000B2CBE">
        <w:rPr>
          <w:rFonts w:eastAsia="Arial Unicode MS"/>
          <w:color w:val="000000" w:themeColor="text1"/>
          <w:lang w:val="ro-RO"/>
        </w:rPr>
        <w:t>Evaluarea bunurilor imobile trebuie să îndeplinească cumulativ următoarele cerințe:</w:t>
      </w:r>
    </w:p>
    <w:p w14:paraId="1B2B50B6" w14:textId="56741CEE" w:rsidR="006F667E" w:rsidRPr="000B2CBE" w:rsidRDefault="006F667E" w:rsidP="006F667E">
      <w:pPr>
        <w:shd w:val="clear" w:color="auto" w:fill="FFFFFF"/>
        <w:ind w:firstLine="567"/>
        <w:jc w:val="both"/>
        <w:rPr>
          <w:rFonts w:eastAsia="Arial Unicode MS"/>
          <w:color w:val="000000" w:themeColor="text1"/>
          <w:lang w:val="ro-RO"/>
        </w:rPr>
      </w:pPr>
      <w:r w:rsidRPr="000B2CBE">
        <w:rPr>
          <w:rFonts w:eastAsia="Arial Unicode MS"/>
          <w:color w:val="000000" w:themeColor="text1"/>
          <w:lang w:val="ro-RO"/>
        </w:rPr>
        <w:t>1) valoarea bunului imobil este evaluată independent de procesul desfășurat de bancă pentru realizarea achiziției ipotecare, de procesarea creditului și de procesul de luare a deciziei în ceea ce privește creditul, de către un evaluator independent</w:t>
      </w:r>
      <w:r w:rsidR="0025667E">
        <w:rPr>
          <w:rFonts w:eastAsia="Arial Unicode MS"/>
          <w:color w:val="000000" w:themeColor="text1"/>
          <w:lang w:val="ro-RO"/>
        </w:rPr>
        <w:t>, conform Legii nr.989/2002</w:t>
      </w:r>
      <w:r w:rsidR="0023120D">
        <w:rPr>
          <w:rFonts w:eastAsia="Arial Unicode MS"/>
          <w:color w:val="000000" w:themeColor="text1"/>
          <w:lang w:val="ro-RO"/>
        </w:rPr>
        <w:t xml:space="preserve"> </w:t>
      </w:r>
      <w:r w:rsidR="0025667E">
        <w:rPr>
          <w:rFonts w:eastAsia="Arial Unicode MS"/>
          <w:color w:val="000000" w:themeColor="text1"/>
          <w:lang w:val="ro-RO"/>
        </w:rPr>
        <w:t>cu privire la activitatea de evaluare</w:t>
      </w:r>
      <w:r w:rsidRPr="000B2CBE">
        <w:rPr>
          <w:rFonts w:eastAsia="Arial Unicode MS"/>
          <w:color w:val="000000" w:themeColor="text1"/>
          <w:lang w:val="ro-RO"/>
        </w:rPr>
        <w:t>;</w:t>
      </w:r>
    </w:p>
    <w:p w14:paraId="67C41834" w14:textId="77777777" w:rsidR="006F667E" w:rsidRPr="000B2CBE" w:rsidRDefault="006F667E" w:rsidP="006F667E">
      <w:pPr>
        <w:shd w:val="clear" w:color="auto" w:fill="FFFFFF"/>
        <w:ind w:firstLine="567"/>
        <w:jc w:val="both"/>
        <w:rPr>
          <w:rFonts w:eastAsia="Arial Unicode MS"/>
          <w:color w:val="000000" w:themeColor="text1"/>
          <w:lang w:val="ro-RO"/>
        </w:rPr>
      </w:pPr>
      <w:r w:rsidRPr="000B2CBE">
        <w:rPr>
          <w:rFonts w:eastAsia="Arial Unicode MS"/>
          <w:color w:val="000000" w:themeColor="text1"/>
          <w:lang w:val="ro-RO"/>
        </w:rPr>
        <w:t>2) valoarea bunului imobil este evaluată pe baza unor criterii de evaluare prudente, care îndeplinesc cumulativ următoarele cerințe:</w:t>
      </w:r>
    </w:p>
    <w:p w14:paraId="68E164AB" w14:textId="77777777" w:rsidR="006F667E" w:rsidRPr="000B2CBE" w:rsidRDefault="006F667E" w:rsidP="006F667E">
      <w:pPr>
        <w:shd w:val="clear" w:color="auto" w:fill="FFFFFF"/>
        <w:ind w:firstLine="567"/>
        <w:jc w:val="both"/>
        <w:rPr>
          <w:rFonts w:eastAsia="Arial Unicode MS"/>
          <w:color w:val="000000" w:themeColor="text1"/>
          <w:lang w:val="ro-RO"/>
        </w:rPr>
      </w:pPr>
      <w:r w:rsidRPr="000B2CBE">
        <w:rPr>
          <w:rFonts w:eastAsia="Arial Unicode MS"/>
          <w:color w:val="000000" w:themeColor="text1"/>
          <w:lang w:val="ro-RO"/>
        </w:rPr>
        <w:t>a) valoarea bunului imobil nu ține seama de așteptările de creștere a prețului;</w:t>
      </w:r>
    </w:p>
    <w:p w14:paraId="29DFF5E6" w14:textId="6BA27A13" w:rsidR="006F667E" w:rsidRPr="000B2CBE" w:rsidRDefault="006F667E" w:rsidP="006F667E">
      <w:pPr>
        <w:shd w:val="clear" w:color="auto" w:fill="FFFFFF"/>
        <w:ind w:firstLine="567"/>
        <w:jc w:val="both"/>
        <w:rPr>
          <w:rFonts w:eastAsia="Arial Unicode MS"/>
          <w:color w:val="000000" w:themeColor="text1"/>
          <w:lang w:val="ro-RO"/>
        </w:rPr>
      </w:pPr>
      <w:r w:rsidRPr="000B2CBE">
        <w:rPr>
          <w:rFonts w:eastAsia="Arial Unicode MS"/>
          <w:color w:val="000000" w:themeColor="text1"/>
          <w:lang w:val="ro-RO"/>
        </w:rPr>
        <w:t>b) valoarea bunului imobil este ajustată pentru a ține seama de potențialul ca valoarea de piață curentă să fie cu mult peste valoarea care ar fi sustenabilă pe durata creditului;</w:t>
      </w:r>
    </w:p>
    <w:p w14:paraId="0FE9431D" w14:textId="2B9EE1DA" w:rsidR="006F667E" w:rsidRPr="000B2CBE" w:rsidRDefault="006F667E" w:rsidP="006F667E">
      <w:pPr>
        <w:shd w:val="clear" w:color="auto" w:fill="FFFFFF"/>
        <w:ind w:firstLine="567"/>
        <w:jc w:val="both"/>
        <w:rPr>
          <w:rFonts w:eastAsia="Arial Unicode MS"/>
          <w:color w:val="000000" w:themeColor="text1"/>
          <w:lang w:val="ro-RO"/>
        </w:rPr>
      </w:pPr>
      <w:r w:rsidRPr="000B2CBE">
        <w:rPr>
          <w:rFonts w:eastAsia="Arial Unicode MS"/>
          <w:color w:val="000000" w:themeColor="text1"/>
          <w:lang w:val="ro-RO"/>
        </w:rPr>
        <w:t>3) valoarea bunului imobil este documentată într-un mod transparent și clar;</w:t>
      </w:r>
    </w:p>
    <w:p w14:paraId="02C058C0" w14:textId="1206CC28" w:rsidR="006F667E" w:rsidRPr="000B2CBE" w:rsidRDefault="006F667E" w:rsidP="006F667E">
      <w:pPr>
        <w:shd w:val="clear" w:color="auto" w:fill="FFFFFF"/>
        <w:ind w:firstLine="567"/>
        <w:jc w:val="both"/>
        <w:rPr>
          <w:rFonts w:eastAsia="Arial Unicode MS"/>
          <w:color w:val="000000" w:themeColor="text1"/>
          <w:lang w:val="ro-RO"/>
        </w:rPr>
      </w:pPr>
      <w:r w:rsidRPr="000B2CBE">
        <w:rPr>
          <w:rFonts w:eastAsia="Arial Unicode MS"/>
          <w:color w:val="000000" w:themeColor="text1"/>
          <w:lang w:val="ro-RO"/>
        </w:rPr>
        <w:t>4) valoarea bunului imobil nu este mai mare decât o valoare de piață a bunului imobil, în cazul în care poate fi determinată o astfel de valoare de piață;</w:t>
      </w:r>
    </w:p>
    <w:p w14:paraId="28196D7B" w14:textId="00ED54E5" w:rsidR="006F667E" w:rsidRPr="000B2CBE" w:rsidRDefault="006F667E" w:rsidP="006F667E">
      <w:pPr>
        <w:shd w:val="clear" w:color="auto" w:fill="FFFFFF"/>
        <w:ind w:firstLine="567"/>
        <w:jc w:val="both"/>
        <w:rPr>
          <w:rFonts w:eastAsia="Arial Unicode MS"/>
          <w:color w:val="000000" w:themeColor="text1"/>
          <w:lang w:val="ro-RO"/>
        </w:rPr>
      </w:pPr>
      <w:r w:rsidRPr="000B2CBE">
        <w:rPr>
          <w:rFonts w:eastAsia="Arial Unicode MS"/>
          <w:color w:val="000000" w:themeColor="text1"/>
          <w:lang w:val="ro-RO"/>
        </w:rPr>
        <w:t xml:space="preserve">5) în cazul reevaluării bunului imobil, valoarea acestuia nu poate să depășească valoarea medie determinată pentru bunul respectiv, sau pentru un bun imobil comparabil în ultimii șase ani în cazul bunurilor imobile locative ori opt ani în cazul bunurilor imobile comerciale, sau valoarea în momentul inițierii, </w:t>
      </w:r>
      <w:proofErr w:type="spellStart"/>
      <w:r w:rsidRPr="000B2CBE">
        <w:rPr>
          <w:rFonts w:eastAsia="Arial Unicode MS"/>
          <w:color w:val="000000" w:themeColor="text1"/>
          <w:lang w:val="ro-RO"/>
        </w:rPr>
        <w:t>optându-se</w:t>
      </w:r>
      <w:proofErr w:type="spellEnd"/>
      <w:r w:rsidRPr="000B2CBE">
        <w:rPr>
          <w:rFonts w:eastAsia="Arial Unicode MS"/>
          <w:color w:val="000000" w:themeColor="text1"/>
          <w:lang w:val="ro-RO"/>
        </w:rPr>
        <w:t xml:space="preserve"> pentru valoarea mai mare dintre cele două.</w:t>
      </w:r>
    </w:p>
    <w:p w14:paraId="7289D635" w14:textId="77777777" w:rsidR="006F667E" w:rsidRPr="000B2CBE"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0B2CBE">
        <w:rPr>
          <w:b/>
          <w:bCs/>
          <w:color w:val="000000" w:themeColor="text1"/>
          <w:lang w:val="ro-RO"/>
        </w:rPr>
        <w:t>107</w:t>
      </w:r>
      <w:r w:rsidRPr="000B2CBE">
        <w:rPr>
          <w:b/>
          <w:bCs/>
          <w:color w:val="000000" w:themeColor="text1"/>
          <w:vertAlign w:val="superscript"/>
          <w:lang w:val="ro-RO"/>
        </w:rPr>
        <w:t>2</w:t>
      </w:r>
      <w:r w:rsidRPr="000B2CBE">
        <w:rPr>
          <w:b/>
          <w:bCs/>
          <w:color w:val="000000" w:themeColor="text1"/>
          <w:lang w:val="ro-RO"/>
        </w:rPr>
        <w:t xml:space="preserve">. </w:t>
      </w:r>
      <w:r w:rsidRPr="000B2CBE">
        <w:rPr>
          <w:rFonts w:eastAsia="Arial Unicode MS"/>
          <w:color w:val="000000" w:themeColor="text1"/>
          <w:lang w:val="ro-RO"/>
        </w:rPr>
        <w:t>În scopul calculării valorii medii, băncile iau în considerare media valorilor bunului imobil observate la intervale egale, iar perioada de referință include cel puțin trei puncte de date.</w:t>
      </w:r>
    </w:p>
    <w:p w14:paraId="2CEBADE2" w14:textId="0DFEC62E" w:rsidR="006F667E" w:rsidRPr="000B2CBE"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0B2CBE">
        <w:rPr>
          <w:rFonts w:eastAsia="Arial Unicode MS"/>
          <w:color w:val="000000" w:themeColor="text1"/>
          <w:lang w:val="ro-RO"/>
        </w:rPr>
        <w:t>În scopul calculării valorii medii, băncile pot utiliza rezultatele monitorizării valorilor bunului imobil efectuate în conformitate cu anexa nr.2 la Regulamentul nr.111/2018. Valoarea bunului imobil poate depăși valoarea medie respectivă sau valoarea în momentul inițierii, după caz, în cazul modificărilor aduse bunului care îi sporesc fără echivoc valoarea, cum ar fi îmbunătățirea performanței energetice sau îmbunătățirea rezilienței, a protecției și a adaptării la riscurile fizice ale clădirii sau ale unității locative. Valoarea bunului imobil nu poate fi reevaluată în sens crescător dacă băncile nu au suficiente date pentru a calcula valoarea medie, cu excepția cazului în care creșterea valorii se bazează pe modificări care sporesc fără echivoc valoarea bunului imobil.</w:t>
      </w:r>
    </w:p>
    <w:p w14:paraId="687A900A" w14:textId="07D2552A" w:rsidR="006F667E" w:rsidRPr="000B2CBE"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0B2CBE">
        <w:rPr>
          <w:b/>
          <w:bCs/>
          <w:color w:val="000000" w:themeColor="text1"/>
          <w:lang w:val="ro-RO"/>
        </w:rPr>
        <w:t>107</w:t>
      </w:r>
      <w:r w:rsidRPr="000B2CBE">
        <w:rPr>
          <w:b/>
          <w:bCs/>
          <w:color w:val="000000" w:themeColor="text1"/>
          <w:vertAlign w:val="superscript"/>
          <w:lang w:val="ro-RO"/>
        </w:rPr>
        <w:t>3</w:t>
      </w:r>
      <w:r w:rsidRPr="000B2CBE">
        <w:rPr>
          <w:b/>
          <w:bCs/>
          <w:color w:val="000000" w:themeColor="text1"/>
          <w:lang w:val="ro-RO"/>
        </w:rPr>
        <w:t>.</w:t>
      </w:r>
      <w:r w:rsidRPr="000B2CBE">
        <w:rPr>
          <w:color w:val="000000" w:themeColor="text1"/>
          <w:lang w:val="ro-RO"/>
        </w:rPr>
        <w:t xml:space="preserve"> </w:t>
      </w:r>
      <w:r w:rsidRPr="000B2CBE">
        <w:rPr>
          <w:rFonts w:eastAsia="Arial Unicode MS"/>
          <w:color w:val="000000" w:themeColor="text1"/>
          <w:lang w:val="ro-RO"/>
        </w:rPr>
        <w:t>Evaluarea bunurilor imobile ține seama de eventualele creanțe anterioare asupra bunurilor imobile, cu excepția cazului în care o creanță anterioară este luată în considerare la calcularea cuantumului brut al expunerii în temeiul</w:t>
      </w:r>
      <w:r w:rsidRPr="000B2CBE">
        <w:rPr>
          <w:color w:val="000000" w:themeColor="text1"/>
          <w:lang w:val="ro-RO"/>
        </w:rPr>
        <w:t xml:space="preserve"> punctelor 68 subpunctul 3) </w:t>
      </w:r>
      <w:r w:rsidRPr="000B2CBE">
        <w:rPr>
          <w:rFonts w:eastAsia="Arial Unicode MS"/>
          <w:color w:val="000000" w:themeColor="text1"/>
          <w:lang w:val="ro-RO"/>
        </w:rPr>
        <w:t>din Regulamentul nr.111/2018 sau ca factor ce reduce cuantumul de 55 % din valoarea bunului imobil în temeiul Regulamentului nr.111/2018 punctele 69-69</w:t>
      </w:r>
      <w:r w:rsidRPr="000B2CBE">
        <w:rPr>
          <w:rFonts w:eastAsia="Arial Unicode MS"/>
          <w:color w:val="000000" w:themeColor="text1"/>
          <w:vertAlign w:val="superscript"/>
          <w:lang w:val="ro-RO"/>
        </w:rPr>
        <w:t>3</w:t>
      </w:r>
      <w:r w:rsidRPr="000B2CBE">
        <w:rPr>
          <w:rFonts w:eastAsia="Arial Unicode MS"/>
          <w:color w:val="000000" w:themeColor="text1"/>
          <w:lang w:val="ro-RO"/>
        </w:rPr>
        <w:t xml:space="preserve"> privind bunurile imobile locative și 71-71</w:t>
      </w:r>
      <w:r w:rsidRPr="000B2CBE">
        <w:rPr>
          <w:rFonts w:eastAsia="Arial Unicode MS"/>
          <w:color w:val="000000" w:themeColor="text1"/>
          <w:vertAlign w:val="superscript"/>
          <w:lang w:val="ro-RO"/>
        </w:rPr>
        <w:t>3</w:t>
      </w:r>
      <w:r w:rsidRPr="000B2CBE">
        <w:rPr>
          <w:rFonts w:eastAsia="Arial Unicode MS"/>
          <w:color w:val="000000" w:themeColor="text1"/>
          <w:lang w:val="ro-RO"/>
        </w:rPr>
        <w:t xml:space="preserve"> privind bunurile imobile comerciale, și reflectă, după caz, rezultatele monitorizării impuse în temeiul anexei nr.2 la Regulamentul nr.111/2018.</w:t>
      </w:r>
    </w:p>
    <w:p w14:paraId="40F4C0C6" w14:textId="190833B9" w:rsidR="006F667E" w:rsidRPr="000B2CBE" w:rsidRDefault="006F667E" w:rsidP="006F667E">
      <w:pPr>
        <w:shd w:val="clear" w:color="auto" w:fill="FFFFFF"/>
        <w:jc w:val="both"/>
        <w:rPr>
          <w:rFonts w:eastAsia="Arial Unicode MS"/>
          <w:color w:val="000000" w:themeColor="text1"/>
          <w:lang w:val="ro-RO"/>
        </w:rPr>
      </w:pPr>
      <w:r w:rsidRPr="000B2CBE">
        <w:rPr>
          <w:b/>
          <w:bCs/>
          <w:color w:val="000000" w:themeColor="text1"/>
          <w:lang w:val="ro-RO"/>
        </w:rPr>
        <w:t>107</w:t>
      </w:r>
      <w:r w:rsidRPr="000B2CBE">
        <w:rPr>
          <w:b/>
          <w:bCs/>
          <w:color w:val="000000" w:themeColor="text1"/>
          <w:vertAlign w:val="superscript"/>
          <w:lang w:val="ro-RO"/>
        </w:rPr>
        <w:t>4</w:t>
      </w:r>
      <w:r w:rsidRPr="000B2CBE">
        <w:rPr>
          <w:b/>
          <w:bCs/>
          <w:color w:val="000000" w:themeColor="text1"/>
          <w:lang w:val="ro-RO"/>
        </w:rPr>
        <w:t>.</w:t>
      </w:r>
      <w:r w:rsidRPr="000B2CBE">
        <w:rPr>
          <w:rFonts w:eastAsia="Arial Unicode MS"/>
          <w:color w:val="000000" w:themeColor="text1"/>
          <w:lang w:val="ro-RO"/>
        </w:rPr>
        <w:t xml:space="preserve"> În cazul creanțelor, valoarea acestora reprezintă cuantumul de încasat.</w:t>
      </w:r>
    </w:p>
    <w:p w14:paraId="0894506A" w14:textId="38D2F3D0" w:rsidR="006F667E" w:rsidRPr="000B2CBE" w:rsidRDefault="006F667E" w:rsidP="006F667E">
      <w:pPr>
        <w:shd w:val="clear" w:color="auto" w:fill="FFFFFF"/>
        <w:jc w:val="both"/>
        <w:rPr>
          <w:rFonts w:eastAsia="Arial Unicode MS"/>
          <w:color w:val="000000" w:themeColor="text1"/>
          <w:lang w:val="ro-RO"/>
        </w:rPr>
      </w:pPr>
      <w:r w:rsidRPr="000B2CBE">
        <w:rPr>
          <w:b/>
          <w:bCs/>
          <w:color w:val="000000" w:themeColor="text1"/>
          <w:lang w:val="ro-RO"/>
        </w:rPr>
        <w:t>107</w:t>
      </w:r>
      <w:r w:rsidRPr="000B2CBE">
        <w:rPr>
          <w:b/>
          <w:bCs/>
          <w:color w:val="000000" w:themeColor="text1"/>
          <w:vertAlign w:val="superscript"/>
          <w:lang w:val="ro-RO"/>
        </w:rPr>
        <w:t>5</w:t>
      </w:r>
      <w:r w:rsidRPr="000B2CBE">
        <w:rPr>
          <w:b/>
          <w:bCs/>
          <w:color w:val="000000" w:themeColor="text1"/>
          <w:lang w:val="ro-RO"/>
        </w:rPr>
        <w:t>.</w:t>
      </w:r>
      <w:r w:rsidRPr="000B2CBE">
        <w:rPr>
          <w:color w:val="000000" w:themeColor="text1"/>
          <w:lang w:val="ro-RO"/>
        </w:rPr>
        <w:t xml:space="preserve"> </w:t>
      </w:r>
      <w:r w:rsidRPr="000B2CBE">
        <w:rPr>
          <w:rFonts w:eastAsia="Arial Unicode MS"/>
          <w:color w:val="000000" w:themeColor="text1"/>
          <w:lang w:val="ro-RO"/>
        </w:rPr>
        <w:t>Băncile trebuie să evalueze garanțiile reale corporale, altele decât bunurile imobiliare, la valoarea de piață a acestora.</w:t>
      </w:r>
      <w:r w:rsidR="00826588">
        <w:rPr>
          <w:rFonts w:eastAsia="Arial Unicode MS"/>
          <w:color w:val="000000" w:themeColor="text1"/>
          <w:lang w:val="ro-RO"/>
        </w:rPr>
        <w:t xml:space="preserve"> </w:t>
      </w:r>
      <w:r w:rsidR="00826588" w:rsidRPr="00826588">
        <w:rPr>
          <w:rFonts w:eastAsia="Arial Unicode MS"/>
          <w:color w:val="000000" w:themeColor="text1"/>
          <w:lang w:val="ro-RO"/>
        </w:rPr>
        <w:t xml:space="preserve">În sensul prezentului </w:t>
      </w:r>
      <w:r w:rsidR="00826588">
        <w:rPr>
          <w:rFonts w:eastAsia="Arial Unicode MS"/>
          <w:color w:val="000000" w:themeColor="text1"/>
          <w:lang w:val="ro-RO"/>
        </w:rPr>
        <w:t>punct</w:t>
      </w:r>
      <w:r w:rsidR="00826588" w:rsidRPr="00826588">
        <w:rPr>
          <w:rFonts w:eastAsia="Arial Unicode MS"/>
          <w:color w:val="000000" w:themeColor="text1"/>
          <w:lang w:val="ro-RO"/>
        </w:rPr>
        <w:t xml:space="preserve">, valoarea de piață reprezintă suma estimată </w:t>
      </w:r>
      <w:r w:rsidR="00826588" w:rsidRPr="00826588">
        <w:rPr>
          <w:rFonts w:eastAsia="Arial Unicode MS"/>
          <w:color w:val="000000" w:themeColor="text1"/>
          <w:lang w:val="ro-RO"/>
        </w:rPr>
        <w:lastRenderedPageBreak/>
        <w:t>pentru care bunul respectiv ar putea fi schimbat la data evaluării între un cumpărător interesat și un vânzător interesat, în cadrul unei tranzacții încheiate în condiții de concurență deplină.</w:t>
      </w:r>
    </w:p>
    <w:p w14:paraId="3CDD95E0" w14:textId="77777777" w:rsidR="006F667E" w:rsidRPr="000B2CBE" w:rsidRDefault="006F667E" w:rsidP="006F667E">
      <w:pPr>
        <w:jc w:val="center"/>
        <w:rPr>
          <w:color w:val="000000" w:themeColor="text1"/>
          <w:lang w:val="ro-RO" w:eastAsia="ro-MD"/>
        </w:rPr>
      </w:pPr>
      <w:r w:rsidRPr="000B2CBE">
        <w:rPr>
          <w:color w:val="000000" w:themeColor="text1"/>
          <w:lang w:val="ro-RO" w:eastAsia="ro-MD"/>
        </w:rPr>
        <w:t> </w:t>
      </w:r>
      <w:r w:rsidRPr="000B2CBE">
        <w:rPr>
          <w:b/>
          <w:bCs/>
          <w:i/>
          <w:iCs/>
          <w:color w:val="000000" w:themeColor="text1"/>
          <w:lang w:val="ro-RO" w:eastAsia="ro-MD"/>
        </w:rPr>
        <w:t>Secțiunea a 9</w:t>
      </w:r>
      <w:r w:rsidRPr="000B2CBE">
        <w:rPr>
          <w:b/>
          <w:bCs/>
          <w:i/>
          <w:iCs/>
          <w:color w:val="000000" w:themeColor="text1"/>
          <w:vertAlign w:val="superscript"/>
          <w:lang w:val="ro-RO" w:eastAsia="ro-MD"/>
        </w:rPr>
        <w:t>2</w:t>
      </w:r>
      <w:r w:rsidRPr="000B2CBE">
        <w:rPr>
          <w:b/>
          <w:bCs/>
          <w:i/>
          <w:iCs/>
          <w:color w:val="000000" w:themeColor="text1"/>
          <w:lang w:val="ro-RO" w:eastAsia="ro-MD"/>
        </w:rPr>
        <w:t>-a</w:t>
      </w:r>
    </w:p>
    <w:p w14:paraId="1BCB8207" w14:textId="77777777" w:rsidR="006F667E" w:rsidRPr="000B2CBE" w:rsidRDefault="006F667E" w:rsidP="006F667E">
      <w:pPr>
        <w:jc w:val="center"/>
        <w:rPr>
          <w:color w:val="000000" w:themeColor="text1"/>
          <w:lang w:val="ro-RO" w:eastAsia="ro-MD"/>
        </w:rPr>
      </w:pPr>
      <w:r w:rsidRPr="000B2CBE">
        <w:rPr>
          <w:b/>
          <w:bCs/>
          <w:i/>
          <w:iCs/>
          <w:color w:val="000000" w:themeColor="text1"/>
          <w:lang w:val="ro-RO" w:eastAsia="ro-MD"/>
        </w:rPr>
        <w:t>Calculul cuantumurilor ponderate la risc ale expunerilor și al cuantumurilor pierderilor așteptate pentru o expunere cu o protecție finanțată a creditului eligibilă în cadrul abordării IRB</w:t>
      </w:r>
    </w:p>
    <w:p w14:paraId="6947FD3D" w14:textId="77777777" w:rsidR="006F667E" w:rsidRPr="000B2CBE" w:rsidRDefault="006F667E" w:rsidP="006F667E">
      <w:pPr>
        <w:pStyle w:val="title-article-norm"/>
        <w:shd w:val="clear" w:color="auto" w:fill="FFFFFF"/>
        <w:spacing w:before="0" w:beforeAutospacing="0" w:after="0" w:afterAutospacing="0" w:line="312" w:lineRule="atLeast"/>
        <w:jc w:val="both"/>
        <w:rPr>
          <w:rFonts w:eastAsia="Arial Unicode MS"/>
          <w:i/>
          <w:iCs/>
          <w:color w:val="000000" w:themeColor="text1"/>
          <w:lang w:val="ro-RO"/>
        </w:rPr>
      </w:pPr>
      <w:r w:rsidRPr="000B2CBE">
        <w:rPr>
          <w:b/>
          <w:bCs/>
          <w:color w:val="000000" w:themeColor="text1"/>
          <w:lang w:val="ro-RO"/>
          <w14:ligatures w14:val="none"/>
        </w:rPr>
        <w:t>107</w:t>
      </w:r>
      <w:r w:rsidRPr="000B2CBE">
        <w:rPr>
          <w:b/>
          <w:bCs/>
          <w:color w:val="000000" w:themeColor="text1"/>
          <w:vertAlign w:val="superscript"/>
          <w:lang w:val="ro-RO"/>
          <w14:ligatures w14:val="none"/>
        </w:rPr>
        <w:t>6</w:t>
      </w:r>
      <w:r w:rsidRPr="000B2CBE">
        <w:rPr>
          <w:b/>
          <w:bCs/>
          <w:color w:val="000000" w:themeColor="text1"/>
          <w:lang w:val="ro-RO"/>
          <w14:ligatures w14:val="none"/>
        </w:rPr>
        <w:t xml:space="preserve">. </w:t>
      </w:r>
      <w:r w:rsidRPr="000B2CBE">
        <w:rPr>
          <w:rFonts w:eastAsia="Arial Unicode MS"/>
          <w:color w:val="000000" w:themeColor="text1"/>
          <w:lang w:val="ro-RO"/>
        </w:rPr>
        <w:t>În cadrul abordării IRB, cu excepția expunerilor care intră sub incidența punctelor 68-72, băncile utilizează pierderea în caz de nerambursare efectivă (LGD*) ca LGD în sensul actului normativ al Băncii Naționale a Moldovei aferent tratamentului riscului de credit pentru bănci potrivit abordării bazate pe modele interne de rating, pentru a recunoaște protecția finanțată a creditului eligibilă în temeiul prezentului regulament. Băncile calculează LGD* după cum urmează:</w:t>
      </w:r>
      <w:r w:rsidRPr="000B2CBE">
        <w:rPr>
          <w:color w:val="000000" w:themeColor="text1"/>
          <w:sz w:val="18"/>
          <w:szCs w:val="18"/>
          <w:highlight w:val="lightGray"/>
          <w:lang w:val="ro-RO"/>
          <w14:ligatures w14:val="none"/>
        </w:rPr>
        <w:t xml:space="preserve"> </w:t>
      </w:r>
    </w:p>
    <w:p w14:paraId="09CAFDEE" w14:textId="77777777" w:rsidR="006F667E" w:rsidRPr="000B2CBE"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0B2CBE">
        <w:rPr>
          <w:b/>
          <w:bCs/>
          <w:noProof/>
          <w:color w:val="000000" w:themeColor="text1"/>
          <w:lang w:val="ro-RO"/>
        </w:rPr>
        <w:drawing>
          <wp:inline distT="0" distB="0" distL="0" distR="0" wp14:anchorId="0B4891DD" wp14:editId="7A108D12">
            <wp:extent cx="3419475" cy="4572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19475" cy="457200"/>
                    </a:xfrm>
                    <a:prstGeom prst="rect">
                      <a:avLst/>
                    </a:prstGeom>
                    <a:noFill/>
                    <a:ln>
                      <a:noFill/>
                    </a:ln>
                  </pic:spPr>
                </pic:pic>
              </a:graphicData>
            </a:graphic>
          </wp:inline>
        </w:drawing>
      </w:r>
    </w:p>
    <w:p w14:paraId="4B7C5519" w14:textId="77777777" w:rsidR="006F667E" w:rsidRPr="000B2CBE"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0B2CBE">
        <w:rPr>
          <w:rFonts w:eastAsia="Arial Unicode MS"/>
          <w:color w:val="000000" w:themeColor="text1"/>
          <w:lang w:val="ro-RO"/>
        </w:rPr>
        <w:t>unde:</w:t>
      </w:r>
    </w:p>
    <w:tbl>
      <w:tblPr>
        <w:tblW w:w="5000" w:type="pct"/>
        <w:tblCellMar>
          <w:left w:w="0" w:type="dxa"/>
          <w:right w:w="0" w:type="dxa"/>
        </w:tblCellMar>
        <w:tblLook w:val="04A0" w:firstRow="1" w:lastRow="0" w:firstColumn="1" w:lastColumn="0" w:noHBand="0" w:noVBand="1"/>
      </w:tblPr>
      <w:tblGrid>
        <w:gridCol w:w="147"/>
        <w:gridCol w:w="9542"/>
      </w:tblGrid>
      <w:tr w:rsidR="000B2CBE" w:rsidRPr="00274FFD" w14:paraId="0E2D54C4" w14:textId="77777777" w:rsidTr="008D25C5">
        <w:tc>
          <w:tcPr>
            <w:tcW w:w="0" w:type="auto"/>
            <w:hideMark/>
          </w:tcPr>
          <w:p w14:paraId="7BD97E6A" w14:textId="77777777" w:rsidR="006F667E" w:rsidRPr="000B2CBE" w:rsidRDefault="006F667E" w:rsidP="008D25C5">
            <w:pPr>
              <w:pStyle w:val="dlist-term"/>
              <w:spacing w:before="0" w:beforeAutospacing="0" w:after="0" w:afterAutospacing="0" w:line="312" w:lineRule="atLeast"/>
              <w:rPr>
                <w:color w:val="000000" w:themeColor="text1"/>
                <w:lang w:val="ro-RO"/>
              </w:rPr>
            </w:pPr>
            <w:r w:rsidRPr="000B2CBE">
              <w:rPr>
                <w:color w:val="000000" w:themeColor="text1"/>
                <w:lang w:val="ro-RO"/>
              </w:rPr>
              <w:t>E</w:t>
            </w:r>
          </w:p>
        </w:tc>
        <w:tc>
          <w:tcPr>
            <w:tcW w:w="0" w:type="auto"/>
            <w:hideMark/>
          </w:tcPr>
          <w:p w14:paraId="61D39CA5" w14:textId="77777777" w:rsidR="006F667E" w:rsidRPr="000B2CBE" w:rsidRDefault="006F667E" w:rsidP="008D25C5">
            <w:pPr>
              <w:pStyle w:val="norm"/>
              <w:spacing w:before="0" w:beforeAutospacing="0" w:after="0" w:afterAutospacing="0" w:line="312" w:lineRule="atLeast"/>
              <w:jc w:val="both"/>
              <w:rPr>
                <w:color w:val="000000" w:themeColor="text1"/>
                <w:lang w:val="ro-RO"/>
              </w:rPr>
            </w:pPr>
            <w:r w:rsidRPr="000B2CBE">
              <w:rPr>
                <w:color w:val="000000" w:themeColor="text1"/>
                <w:lang w:val="ro-RO"/>
              </w:rPr>
              <w:t>= valoarea expunerii înainte de a se lua în considerare efectul protecției finanțate a creditului; pentru o expunere garantată cu o garanție financiară eligibilă în conformitate cu prezentul regulament, cuantumul respectiv se calculează în conformitate cu punctele 89-90; în cazul titlurilor de valoare date cu împrumut sau furnizate drept garanție, cuantumul respectiv este egal cu numerarul dat cu împrumut sau cu titlurile de valoare date cu împrumut sau furnizate drept garanție; în cazul titlurilor de valoare date cu împrumut sau furnizate drept garanție, valoarea expunerii se majorează prin aplicarea ajustării de volatilitate (H</w:t>
            </w:r>
            <w:r w:rsidRPr="000B2CBE">
              <w:rPr>
                <w:rStyle w:val="subscript"/>
                <w:color w:val="000000" w:themeColor="text1"/>
                <w:vertAlign w:val="subscript"/>
                <w:lang w:val="ro-RO"/>
              </w:rPr>
              <w:t>E</w:t>
            </w:r>
            <w:r w:rsidRPr="000B2CBE">
              <w:rPr>
                <w:color w:val="000000" w:themeColor="text1"/>
                <w:lang w:val="ro-RO"/>
              </w:rPr>
              <w:t>) în conformitate cu secțiunile 5 – 8 din prezentul capitol;</w:t>
            </w:r>
          </w:p>
        </w:tc>
      </w:tr>
    </w:tbl>
    <w:p w14:paraId="7C19891D" w14:textId="77777777" w:rsidR="006F667E" w:rsidRPr="000B2CBE" w:rsidRDefault="006F667E" w:rsidP="006F667E">
      <w:pPr>
        <w:shd w:val="clear" w:color="auto" w:fill="FFFFFF"/>
        <w:rPr>
          <w:rFonts w:eastAsia="Arial Unicode MS"/>
          <w:vanish/>
          <w:color w:val="000000" w:themeColor="text1"/>
          <w:lang w:val="ro-RO"/>
        </w:rPr>
      </w:pPr>
    </w:p>
    <w:tbl>
      <w:tblPr>
        <w:tblW w:w="5000" w:type="pct"/>
        <w:tblCellMar>
          <w:left w:w="0" w:type="dxa"/>
          <w:right w:w="0" w:type="dxa"/>
        </w:tblCellMar>
        <w:tblLook w:val="04A0" w:firstRow="1" w:lastRow="0" w:firstColumn="1" w:lastColumn="0" w:noHBand="0" w:noVBand="1"/>
      </w:tblPr>
      <w:tblGrid>
        <w:gridCol w:w="236"/>
        <w:gridCol w:w="9453"/>
      </w:tblGrid>
      <w:tr w:rsidR="000B2CBE" w:rsidRPr="00274FFD" w14:paraId="44DD483E" w14:textId="77777777" w:rsidTr="008D25C5">
        <w:tc>
          <w:tcPr>
            <w:tcW w:w="0" w:type="auto"/>
            <w:hideMark/>
          </w:tcPr>
          <w:p w14:paraId="7AAE1A4A" w14:textId="77777777" w:rsidR="006F667E" w:rsidRPr="000B2CBE" w:rsidRDefault="006F667E" w:rsidP="008D25C5">
            <w:pPr>
              <w:pStyle w:val="dlist-term"/>
              <w:spacing w:before="0" w:beforeAutospacing="0" w:after="0" w:afterAutospacing="0" w:line="312" w:lineRule="atLeast"/>
              <w:rPr>
                <w:color w:val="000000" w:themeColor="text1"/>
                <w:lang w:val="ro-RO"/>
              </w:rPr>
            </w:pPr>
            <w:r w:rsidRPr="000B2CBE">
              <w:rPr>
                <w:color w:val="000000" w:themeColor="text1"/>
                <w:lang w:val="ro-RO"/>
              </w:rPr>
              <w:t>E</w:t>
            </w:r>
            <w:r w:rsidRPr="000B2CBE">
              <w:rPr>
                <w:rStyle w:val="subscript"/>
                <w:color w:val="000000" w:themeColor="text1"/>
                <w:vertAlign w:val="subscript"/>
                <w:lang w:val="ro-RO"/>
              </w:rPr>
              <w:t>S</w:t>
            </w:r>
          </w:p>
        </w:tc>
        <w:tc>
          <w:tcPr>
            <w:tcW w:w="0" w:type="auto"/>
            <w:hideMark/>
          </w:tcPr>
          <w:p w14:paraId="0433735C" w14:textId="2F76516D" w:rsidR="006F667E" w:rsidRPr="000B2CBE" w:rsidRDefault="006F667E" w:rsidP="008D25C5">
            <w:pPr>
              <w:pStyle w:val="norm"/>
              <w:spacing w:before="0" w:beforeAutospacing="0" w:after="0" w:afterAutospacing="0" w:line="312" w:lineRule="atLeast"/>
              <w:jc w:val="both"/>
              <w:rPr>
                <w:color w:val="000000" w:themeColor="text1"/>
                <w:lang w:val="ro-RO"/>
              </w:rPr>
            </w:pPr>
            <w:r w:rsidRPr="000B2CBE">
              <w:rPr>
                <w:color w:val="000000" w:themeColor="text1"/>
                <w:lang w:val="ro-RO"/>
              </w:rPr>
              <w:t>= valoarea curentă a protecției finanțate a creditului primite după aplicarea ajustării de volatilitate aplicabile tipului respectiv de protecție finanțată a creditului (H</w:t>
            </w:r>
            <w:r w:rsidRPr="000B2CBE">
              <w:rPr>
                <w:rStyle w:val="subscript"/>
                <w:color w:val="000000" w:themeColor="text1"/>
                <w:vertAlign w:val="subscript"/>
                <w:lang w:val="ro-RO"/>
              </w:rPr>
              <w:t>C</w:t>
            </w:r>
            <w:r w:rsidRPr="000B2CBE">
              <w:rPr>
                <w:color w:val="000000" w:themeColor="text1"/>
                <w:lang w:val="ro-RO"/>
              </w:rPr>
              <w:t>) și a ajustării de volatilitate pentru neconcordanțele de monede (</w:t>
            </w:r>
            <w:proofErr w:type="spellStart"/>
            <w:r w:rsidRPr="000B2CBE">
              <w:rPr>
                <w:color w:val="000000" w:themeColor="text1"/>
                <w:lang w:val="ro-RO"/>
              </w:rPr>
              <w:t>H</w:t>
            </w:r>
            <w:r w:rsidRPr="000B2CBE">
              <w:rPr>
                <w:rStyle w:val="subscript"/>
                <w:color w:val="000000" w:themeColor="text1"/>
                <w:vertAlign w:val="subscript"/>
                <w:lang w:val="ro-RO"/>
              </w:rPr>
              <w:t>fx</w:t>
            </w:r>
            <w:proofErr w:type="spellEnd"/>
            <w:r w:rsidRPr="000B2CBE">
              <w:rPr>
                <w:color w:val="000000" w:themeColor="text1"/>
                <w:lang w:val="ro-RO"/>
              </w:rPr>
              <w:t>) dintre expunere și protecția finanțată a creditului, în conformitate cu punctele 107</w:t>
            </w:r>
            <w:r w:rsidRPr="000B2CBE">
              <w:rPr>
                <w:color w:val="000000" w:themeColor="text1"/>
                <w:vertAlign w:val="superscript"/>
                <w:lang w:val="ro-RO"/>
              </w:rPr>
              <w:t>7</w:t>
            </w:r>
            <w:r w:rsidRPr="000B2CBE">
              <w:rPr>
                <w:color w:val="000000" w:themeColor="text1"/>
                <w:lang w:val="ro-RO"/>
              </w:rPr>
              <w:t>-107</w:t>
            </w:r>
            <w:r w:rsidRPr="000B2CBE">
              <w:rPr>
                <w:color w:val="000000" w:themeColor="text1"/>
                <w:vertAlign w:val="superscript"/>
                <w:lang w:val="ro-RO"/>
              </w:rPr>
              <w:t>8</w:t>
            </w:r>
            <w:r w:rsidRPr="000B2CBE">
              <w:rPr>
                <w:color w:val="000000" w:themeColor="text1"/>
                <w:lang w:val="ro-RO"/>
              </w:rPr>
              <w:t>; E</w:t>
            </w:r>
            <w:r w:rsidRPr="000B2CBE">
              <w:rPr>
                <w:rStyle w:val="subscript"/>
                <w:color w:val="000000" w:themeColor="text1"/>
                <w:vertAlign w:val="subscript"/>
                <w:lang w:val="ro-RO"/>
              </w:rPr>
              <w:t>S</w:t>
            </w:r>
            <w:r w:rsidRPr="000B2CBE">
              <w:rPr>
                <w:color w:val="000000" w:themeColor="text1"/>
                <w:lang w:val="ro-RO"/>
              </w:rPr>
              <w:t> se plafonează la următoarea valoare: E·(1+H</w:t>
            </w:r>
            <w:r w:rsidRPr="000B2CBE">
              <w:rPr>
                <w:rStyle w:val="subscript"/>
                <w:color w:val="000000" w:themeColor="text1"/>
                <w:vertAlign w:val="subscript"/>
                <w:lang w:val="ro-RO"/>
              </w:rPr>
              <w:t>E</w:t>
            </w:r>
            <w:r w:rsidRPr="000B2CBE">
              <w:rPr>
                <w:color w:val="000000" w:themeColor="text1"/>
                <w:lang w:val="ro-RO"/>
              </w:rPr>
              <w:t>);</w:t>
            </w:r>
          </w:p>
        </w:tc>
      </w:tr>
    </w:tbl>
    <w:p w14:paraId="782958B9" w14:textId="77777777" w:rsidR="006F667E" w:rsidRPr="000B2CBE" w:rsidRDefault="006F667E" w:rsidP="006F667E">
      <w:pPr>
        <w:shd w:val="clear" w:color="auto" w:fill="FFFFFF"/>
        <w:rPr>
          <w:rFonts w:eastAsia="Arial Unicode MS"/>
          <w:vanish/>
          <w:color w:val="000000" w:themeColor="text1"/>
          <w:lang w:val="ro-RO"/>
        </w:rPr>
      </w:pPr>
    </w:p>
    <w:tbl>
      <w:tblPr>
        <w:tblW w:w="5000" w:type="pct"/>
        <w:tblCellMar>
          <w:left w:w="0" w:type="dxa"/>
          <w:right w:w="0" w:type="dxa"/>
        </w:tblCellMar>
        <w:tblLook w:val="04A0" w:firstRow="1" w:lastRow="0" w:firstColumn="1" w:lastColumn="0" w:noHBand="0" w:noVBand="1"/>
      </w:tblPr>
      <w:tblGrid>
        <w:gridCol w:w="734"/>
        <w:gridCol w:w="8955"/>
      </w:tblGrid>
      <w:tr w:rsidR="000B2CBE" w:rsidRPr="000B2CBE" w14:paraId="5F7DF2BE" w14:textId="77777777" w:rsidTr="008D25C5">
        <w:tc>
          <w:tcPr>
            <w:tcW w:w="379" w:type="pct"/>
            <w:hideMark/>
          </w:tcPr>
          <w:p w14:paraId="653DA81E" w14:textId="77777777" w:rsidR="006F667E" w:rsidRPr="000B2CBE" w:rsidRDefault="006F667E" w:rsidP="008D25C5">
            <w:pPr>
              <w:pStyle w:val="dlist-term"/>
              <w:spacing w:before="0" w:beforeAutospacing="0" w:after="0" w:afterAutospacing="0" w:line="312" w:lineRule="atLeast"/>
              <w:rPr>
                <w:color w:val="000000" w:themeColor="text1"/>
                <w:lang w:val="ro-RO"/>
              </w:rPr>
            </w:pPr>
            <w:r w:rsidRPr="000B2CBE">
              <w:rPr>
                <w:color w:val="000000" w:themeColor="text1"/>
                <w:lang w:val="ro-RO"/>
              </w:rPr>
              <w:t>E</w:t>
            </w:r>
            <w:r w:rsidRPr="000B2CBE">
              <w:rPr>
                <w:rStyle w:val="subscript"/>
                <w:color w:val="000000" w:themeColor="text1"/>
                <w:vertAlign w:val="subscript"/>
                <w:lang w:val="ro-RO"/>
              </w:rPr>
              <w:t>U</w:t>
            </w:r>
          </w:p>
        </w:tc>
        <w:tc>
          <w:tcPr>
            <w:tcW w:w="4621" w:type="pct"/>
            <w:hideMark/>
          </w:tcPr>
          <w:p w14:paraId="09676AEE" w14:textId="77777777" w:rsidR="006F667E" w:rsidRPr="000B2CBE" w:rsidRDefault="006F667E" w:rsidP="008D25C5">
            <w:pPr>
              <w:pStyle w:val="norm"/>
              <w:spacing w:before="0" w:beforeAutospacing="0" w:after="0" w:afterAutospacing="0" w:line="312" w:lineRule="atLeast"/>
              <w:jc w:val="both"/>
              <w:rPr>
                <w:color w:val="000000" w:themeColor="text1"/>
                <w:lang w:val="ro-RO"/>
              </w:rPr>
            </w:pPr>
            <w:r w:rsidRPr="000B2CBE">
              <w:rPr>
                <w:color w:val="000000" w:themeColor="text1"/>
                <w:lang w:val="ro-RO"/>
              </w:rPr>
              <w:t>= E·(1+H</w:t>
            </w:r>
            <w:r w:rsidRPr="000B2CBE">
              <w:rPr>
                <w:rStyle w:val="subscript"/>
                <w:color w:val="000000" w:themeColor="text1"/>
                <w:vertAlign w:val="subscript"/>
                <w:lang w:val="ro-RO"/>
              </w:rPr>
              <w:t>E</w:t>
            </w:r>
            <w:r w:rsidRPr="000B2CBE">
              <w:rPr>
                <w:color w:val="000000" w:themeColor="text1"/>
                <w:lang w:val="ro-RO"/>
              </w:rPr>
              <w:t>) – E</w:t>
            </w:r>
            <w:r w:rsidRPr="000B2CBE">
              <w:rPr>
                <w:rStyle w:val="subscript"/>
                <w:color w:val="000000" w:themeColor="text1"/>
                <w:vertAlign w:val="subscript"/>
                <w:lang w:val="ro-RO"/>
              </w:rPr>
              <w:t>S</w:t>
            </w:r>
            <w:r w:rsidRPr="000B2CBE">
              <w:rPr>
                <w:color w:val="000000" w:themeColor="text1"/>
                <w:lang w:val="ro-RO"/>
              </w:rPr>
              <w:t>;</w:t>
            </w:r>
          </w:p>
        </w:tc>
      </w:tr>
    </w:tbl>
    <w:p w14:paraId="7DD64B65" w14:textId="77777777" w:rsidR="006F667E" w:rsidRPr="000B2CBE" w:rsidRDefault="006F667E" w:rsidP="006F667E">
      <w:pPr>
        <w:shd w:val="clear" w:color="auto" w:fill="FFFFFF"/>
        <w:rPr>
          <w:rFonts w:eastAsia="Arial Unicode MS"/>
          <w:vanish/>
          <w:color w:val="000000" w:themeColor="text1"/>
          <w:lang w:val="ro-RO"/>
        </w:rPr>
      </w:pPr>
    </w:p>
    <w:tbl>
      <w:tblPr>
        <w:tblW w:w="5000" w:type="pct"/>
        <w:tblCellMar>
          <w:left w:w="0" w:type="dxa"/>
          <w:right w:w="0" w:type="dxa"/>
        </w:tblCellMar>
        <w:tblLook w:val="04A0" w:firstRow="1" w:lastRow="0" w:firstColumn="1" w:lastColumn="0" w:noHBand="0" w:noVBand="1"/>
      </w:tblPr>
      <w:tblGrid>
        <w:gridCol w:w="609"/>
        <w:gridCol w:w="9080"/>
      </w:tblGrid>
      <w:tr w:rsidR="000B2CBE" w:rsidRPr="00274FFD" w14:paraId="30E4DB41" w14:textId="77777777" w:rsidTr="008D25C5">
        <w:tc>
          <w:tcPr>
            <w:tcW w:w="0" w:type="auto"/>
            <w:hideMark/>
          </w:tcPr>
          <w:p w14:paraId="211762DF" w14:textId="77777777" w:rsidR="006F667E" w:rsidRPr="000B2CBE" w:rsidRDefault="006F667E" w:rsidP="008D25C5">
            <w:pPr>
              <w:pStyle w:val="dlist-term"/>
              <w:spacing w:before="0" w:beforeAutospacing="0" w:after="0" w:afterAutospacing="0" w:line="312" w:lineRule="atLeast"/>
              <w:rPr>
                <w:color w:val="000000" w:themeColor="text1"/>
                <w:lang w:val="ro-RO"/>
              </w:rPr>
            </w:pPr>
            <w:r w:rsidRPr="000B2CBE">
              <w:rPr>
                <w:color w:val="000000" w:themeColor="text1"/>
                <w:lang w:val="ro-RO"/>
              </w:rPr>
              <w:t>LGD</w:t>
            </w:r>
            <w:r w:rsidRPr="000B2CBE">
              <w:rPr>
                <w:rStyle w:val="subscript"/>
                <w:color w:val="000000" w:themeColor="text1"/>
                <w:vertAlign w:val="subscript"/>
                <w:lang w:val="ro-RO"/>
              </w:rPr>
              <w:t>U</w:t>
            </w:r>
          </w:p>
        </w:tc>
        <w:tc>
          <w:tcPr>
            <w:tcW w:w="0" w:type="auto"/>
            <w:hideMark/>
          </w:tcPr>
          <w:p w14:paraId="1938BE2F" w14:textId="0C04DE92" w:rsidR="006F667E" w:rsidRPr="000B2CBE" w:rsidRDefault="006F667E" w:rsidP="008D25C5">
            <w:pPr>
              <w:pStyle w:val="norm"/>
              <w:spacing w:before="0" w:beforeAutospacing="0" w:after="0" w:afterAutospacing="0" w:line="312" w:lineRule="atLeast"/>
              <w:jc w:val="both"/>
              <w:rPr>
                <w:color w:val="000000" w:themeColor="text1"/>
                <w:lang w:val="ro-RO"/>
              </w:rPr>
            </w:pPr>
            <w:r w:rsidRPr="000B2CBE">
              <w:rPr>
                <w:color w:val="000000" w:themeColor="text1"/>
                <w:lang w:val="ro-RO"/>
              </w:rPr>
              <w:t xml:space="preserve">= LGD aplicabilă pentru o expunere negarantată, astfel cum se prevede în </w:t>
            </w:r>
            <w:bookmarkStart w:id="3" w:name="_Hlk213132908"/>
            <w:r w:rsidRPr="000B2CBE">
              <w:rPr>
                <w:color w:val="000000" w:themeColor="text1"/>
                <w:lang w:val="ro-RO"/>
              </w:rPr>
              <w:t>actul normativ al Băncii Naționale a Moldovei aferent tratamentului riscului de credit pentru bănci potrivit abordării bazate pe modele interne de rating</w:t>
            </w:r>
            <w:bookmarkEnd w:id="3"/>
            <w:r w:rsidRPr="000B2CBE">
              <w:rPr>
                <w:color w:val="000000" w:themeColor="text1"/>
                <w:sz w:val="18"/>
                <w:szCs w:val="18"/>
                <w:lang w:val="ro-RO"/>
              </w:rPr>
              <w:t>;</w:t>
            </w:r>
          </w:p>
        </w:tc>
      </w:tr>
    </w:tbl>
    <w:p w14:paraId="56BC1FB5" w14:textId="77777777" w:rsidR="006F667E" w:rsidRPr="000B2CBE" w:rsidRDefault="006F667E" w:rsidP="006F667E">
      <w:pPr>
        <w:shd w:val="clear" w:color="auto" w:fill="FFFFFF"/>
        <w:rPr>
          <w:rFonts w:eastAsia="Arial Unicode MS"/>
          <w:vanish/>
          <w:color w:val="000000" w:themeColor="text1"/>
          <w:lang w:val="ro-RO"/>
        </w:rPr>
      </w:pPr>
    </w:p>
    <w:tbl>
      <w:tblPr>
        <w:tblW w:w="5000" w:type="pct"/>
        <w:tblCellMar>
          <w:left w:w="0" w:type="dxa"/>
          <w:right w:w="0" w:type="dxa"/>
        </w:tblCellMar>
        <w:tblLook w:val="04A0" w:firstRow="1" w:lastRow="0" w:firstColumn="1" w:lastColumn="0" w:noHBand="0" w:noVBand="1"/>
      </w:tblPr>
      <w:tblGrid>
        <w:gridCol w:w="583"/>
        <w:gridCol w:w="9106"/>
      </w:tblGrid>
      <w:tr w:rsidR="000B2CBE" w:rsidRPr="00274FFD" w14:paraId="7EAC699D" w14:textId="77777777" w:rsidTr="008D25C5">
        <w:tc>
          <w:tcPr>
            <w:tcW w:w="0" w:type="auto"/>
            <w:hideMark/>
          </w:tcPr>
          <w:p w14:paraId="0A194D75" w14:textId="77777777" w:rsidR="006F667E" w:rsidRPr="000B2CBE" w:rsidRDefault="006F667E" w:rsidP="008D25C5">
            <w:pPr>
              <w:pStyle w:val="dlist-term"/>
              <w:spacing w:before="0" w:beforeAutospacing="0" w:after="0" w:afterAutospacing="0" w:line="312" w:lineRule="atLeast"/>
              <w:rPr>
                <w:color w:val="000000" w:themeColor="text1"/>
                <w:lang w:val="ro-RO"/>
              </w:rPr>
            </w:pPr>
            <w:r w:rsidRPr="000B2CBE">
              <w:rPr>
                <w:color w:val="000000" w:themeColor="text1"/>
                <w:lang w:val="ro-RO"/>
              </w:rPr>
              <w:t>LGD</w:t>
            </w:r>
            <w:r w:rsidRPr="000B2CBE">
              <w:rPr>
                <w:rStyle w:val="subscript"/>
                <w:color w:val="000000" w:themeColor="text1"/>
                <w:vertAlign w:val="subscript"/>
                <w:lang w:val="ro-RO"/>
              </w:rPr>
              <w:t>S</w:t>
            </w:r>
          </w:p>
        </w:tc>
        <w:tc>
          <w:tcPr>
            <w:tcW w:w="0" w:type="auto"/>
            <w:hideMark/>
          </w:tcPr>
          <w:p w14:paraId="07BD27CC" w14:textId="48FFD7B4" w:rsidR="006F667E" w:rsidRPr="000B2CBE" w:rsidRDefault="006F667E" w:rsidP="008D25C5">
            <w:pPr>
              <w:pStyle w:val="norm"/>
              <w:spacing w:before="0" w:beforeAutospacing="0" w:after="0" w:afterAutospacing="0" w:line="312" w:lineRule="atLeast"/>
              <w:jc w:val="both"/>
              <w:rPr>
                <w:color w:val="000000" w:themeColor="text1"/>
                <w:lang w:val="ro-RO"/>
              </w:rPr>
            </w:pPr>
            <w:r w:rsidRPr="000B2CBE">
              <w:rPr>
                <w:color w:val="000000" w:themeColor="text1"/>
                <w:lang w:val="ro-RO"/>
              </w:rPr>
              <w:t>= LGD aplicabilă expunerilor garantate de tipul de FCP eligibilă utilizată în tranzacție, astfel cum se specifică</w:t>
            </w:r>
            <w:r w:rsidR="00FB709D">
              <w:rPr>
                <w:color w:val="000000" w:themeColor="text1"/>
                <w:lang w:val="ro-RO"/>
              </w:rPr>
              <w:t xml:space="preserve"> în tabelul nr.5</w:t>
            </w:r>
            <w:r w:rsidRPr="000B2CBE">
              <w:rPr>
                <w:color w:val="000000" w:themeColor="text1"/>
                <w:lang w:val="ro-RO"/>
              </w:rPr>
              <w:t>.</w:t>
            </w:r>
          </w:p>
        </w:tc>
      </w:tr>
    </w:tbl>
    <w:p w14:paraId="375CA831" w14:textId="5FC3A2D9" w:rsidR="006F667E" w:rsidRPr="000B2CBE" w:rsidRDefault="006F667E" w:rsidP="006F667E">
      <w:pPr>
        <w:shd w:val="clear" w:color="auto" w:fill="FFFFFF"/>
        <w:rPr>
          <w:rFonts w:eastAsia="Arial Unicode MS"/>
          <w:color w:val="000000" w:themeColor="text1"/>
          <w:lang w:val="ro-RO"/>
        </w:rPr>
      </w:pPr>
      <w:r w:rsidRPr="000B2CBE">
        <w:rPr>
          <w:b/>
          <w:bCs/>
          <w:color w:val="000000" w:themeColor="text1"/>
          <w:lang w:val="ro-RO"/>
        </w:rPr>
        <w:t>107</w:t>
      </w:r>
      <w:r w:rsidRPr="000B2CBE">
        <w:rPr>
          <w:b/>
          <w:bCs/>
          <w:color w:val="000000" w:themeColor="text1"/>
          <w:vertAlign w:val="superscript"/>
          <w:lang w:val="ro-RO"/>
        </w:rPr>
        <w:t>7</w:t>
      </w:r>
      <w:r w:rsidRPr="000B2CBE">
        <w:rPr>
          <w:b/>
          <w:bCs/>
          <w:color w:val="000000" w:themeColor="text1"/>
          <w:lang w:val="ro-RO"/>
        </w:rPr>
        <w:t xml:space="preserve">. </w:t>
      </w:r>
      <w:r w:rsidRPr="000B2CBE">
        <w:rPr>
          <w:rFonts w:eastAsia="Arial Unicode MS"/>
          <w:color w:val="000000" w:themeColor="text1"/>
          <w:lang w:val="ro-RO"/>
        </w:rPr>
        <w:t>În tabelul nr.5 se specifică valorile LGD</w:t>
      </w:r>
      <w:r w:rsidRPr="000B2CBE">
        <w:rPr>
          <w:rStyle w:val="subscript"/>
          <w:rFonts w:eastAsia="Arial Unicode MS"/>
          <w:color w:val="000000" w:themeColor="text1"/>
          <w:vertAlign w:val="subscript"/>
          <w:lang w:val="ro-RO"/>
        </w:rPr>
        <w:t>S</w:t>
      </w:r>
      <w:r w:rsidRPr="000B2CBE">
        <w:rPr>
          <w:rFonts w:eastAsia="Arial Unicode MS"/>
          <w:color w:val="000000" w:themeColor="text1"/>
          <w:lang w:val="ro-RO"/>
        </w:rPr>
        <w:t xml:space="preserve"> și H</w:t>
      </w:r>
      <w:r w:rsidRPr="000B2CBE">
        <w:rPr>
          <w:rStyle w:val="subscript"/>
          <w:rFonts w:eastAsia="Arial Unicode MS"/>
          <w:color w:val="000000" w:themeColor="text1"/>
          <w:vertAlign w:val="subscript"/>
          <w:lang w:val="ro-RO"/>
        </w:rPr>
        <w:t>c</w:t>
      </w:r>
      <w:r w:rsidRPr="000B2CBE">
        <w:rPr>
          <w:rFonts w:eastAsia="Arial Unicode MS"/>
          <w:color w:val="000000" w:themeColor="text1"/>
          <w:lang w:val="ro-RO"/>
        </w:rPr>
        <w:t xml:space="preserve"> aplicabile în formula stabilită la punctul 107</w:t>
      </w:r>
      <w:r w:rsidRPr="000B2CBE">
        <w:rPr>
          <w:rFonts w:eastAsia="Arial Unicode MS"/>
          <w:color w:val="000000" w:themeColor="text1"/>
          <w:vertAlign w:val="superscript"/>
          <w:lang w:val="ro-RO"/>
        </w:rPr>
        <w:t>6</w:t>
      </w:r>
      <w:r w:rsidRPr="000B2CBE">
        <w:rPr>
          <w:rFonts w:eastAsia="Arial Unicode MS"/>
          <w:color w:val="000000" w:themeColor="text1"/>
          <w:lang w:val="ro-RO"/>
        </w:rPr>
        <w:t>.</w:t>
      </w:r>
    </w:p>
    <w:p w14:paraId="78AD38E3" w14:textId="77777777" w:rsidR="006F667E" w:rsidRPr="000B2CBE" w:rsidRDefault="006F667E" w:rsidP="006F667E">
      <w:pPr>
        <w:pStyle w:val="title-table"/>
        <w:shd w:val="clear" w:color="auto" w:fill="FFFFFF"/>
        <w:spacing w:before="0" w:beforeAutospacing="0" w:after="120" w:afterAutospacing="0" w:line="312" w:lineRule="atLeast"/>
        <w:ind w:right="566"/>
        <w:jc w:val="right"/>
        <w:rPr>
          <w:rFonts w:eastAsia="Arial Unicode MS"/>
          <w:b/>
          <w:bCs/>
          <w:color w:val="000000" w:themeColor="text1"/>
          <w:lang w:val="ro-RO"/>
        </w:rPr>
      </w:pPr>
      <w:r w:rsidRPr="000B2CBE">
        <w:rPr>
          <w:rFonts w:eastAsia="Arial Unicode MS"/>
          <w:b/>
          <w:bCs/>
          <w:color w:val="000000" w:themeColor="text1"/>
          <w:lang w:val="ro-RO"/>
        </w:rPr>
        <w:t>Tabelul nr.5</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83"/>
        <w:gridCol w:w="670"/>
        <w:gridCol w:w="4962"/>
      </w:tblGrid>
      <w:tr w:rsidR="000B2CBE" w:rsidRPr="000B2CBE" w14:paraId="7C28EFE5"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286C5B8C" w14:textId="77777777" w:rsidR="006F667E" w:rsidRPr="000B2CBE" w:rsidRDefault="006F667E" w:rsidP="008D25C5">
            <w:pPr>
              <w:pStyle w:val="tbl-norm"/>
              <w:spacing w:before="0" w:beforeAutospacing="0" w:after="0" w:afterAutospacing="0" w:line="312" w:lineRule="atLeast"/>
              <w:jc w:val="both"/>
              <w:rPr>
                <w:b/>
                <w:bCs/>
                <w:color w:val="000000" w:themeColor="text1"/>
                <w:lang w:val="ro-RO"/>
              </w:rPr>
            </w:pPr>
            <w:r w:rsidRPr="000B2CBE">
              <w:rPr>
                <w:b/>
                <w:bCs/>
                <w:color w:val="000000" w:themeColor="text1"/>
                <w:lang w:val="ro-RO"/>
              </w:rPr>
              <w:t>Tipul de FCP</w:t>
            </w:r>
          </w:p>
        </w:tc>
        <w:tc>
          <w:tcPr>
            <w:tcW w:w="0" w:type="auto"/>
            <w:tcBorders>
              <w:top w:val="outset" w:sz="6" w:space="0" w:color="auto"/>
              <w:left w:val="outset" w:sz="6" w:space="0" w:color="auto"/>
              <w:bottom w:val="outset" w:sz="6" w:space="0" w:color="auto"/>
              <w:right w:val="outset" w:sz="6" w:space="0" w:color="auto"/>
            </w:tcBorders>
            <w:hideMark/>
          </w:tcPr>
          <w:p w14:paraId="6000BFBB" w14:textId="77777777" w:rsidR="006F667E" w:rsidRPr="000B2CBE" w:rsidRDefault="006F667E" w:rsidP="008D25C5">
            <w:pPr>
              <w:pStyle w:val="tbl-norm"/>
              <w:spacing w:before="0" w:beforeAutospacing="0" w:after="0" w:afterAutospacing="0" w:line="312" w:lineRule="atLeast"/>
              <w:jc w:val="both"/>
              <w:rPr>
                <w:b/>
                <w:bCs/>
                <w:color w:val="000000" w:themeColor="text1"/>
                <w:lang w:val="ro-RO"/>
              </w:rPr>
            </w:pPr>
            <w:r w:rsidRPr="000B2CBE">
              <w:rPr>
                <w:b/>
                <w:bCs/>
                <w:color w:val="000000" w:themeColor="text1"/>
                <w:lang w:val="ro-RO"/>
              </w:rPr>
              <w:t>LGD</w:t>
            </w:r>
            <w:r w:rsidRPr="000B2CBE">
              <w:rPr>
                <w:rStyle w:val="subscript"/>
                <w:b/>
                <w:bCs/>
                <w:color w:val="000000" w:themeColor="text1"/>
                <w:vertAlign w:val="subscript"/>
                <w:lang w:val="ro-RO"/>
              </w:rPr>
              <w:t>S</w:t>
            </w:r>
          </w:p>
        </w:tc>
        <w:tc>
          <w:tcPr>
            <w:tcW w:w="0" w:type="auto"/>
            <w:tcBorders>
              <w:top w:val="outset" w:sz="6" w:space="0" w:color="auto"/>
              <w:left w:val="outset" w:sz="6" w:space="0" w:color="auto"/>
              <w:bottom w:val="outset" w:sz="6" w:space="0" w:color="auto"/>
              <w:right w:val="outset" w:sz="6" w:space="0" w:color="auto"/>
            </w:tcBorders>
            <w:hideMark/>
          </w:tcPr>
          <w:p w14:paraId="17C859C7" w14:textId="77777777" w:rsidR="006F667E" w:rsidRPr="000B2CBE" w:rsidRDefault="006F667E" w:rsidP="008D25C5">
            <w:pPr>
              <w:pStyle w:val="tbl-norm"/>
              <w:spacing w:before="0" w:beforeAutospacing="0" w:after="0" w:afterAutospacing="0" w:line="312" w:lineRule="atLeast"/>
              <w:jc w:val="both"/>
              <w:rPr>
                <w:b/>
                <w:bCs/>
                <w:color w:val="000000" w:themeColor="text1"/>
                <w:lang w:val="ro-RO"/>
              </w:rPr>
            </w:pPr>
            <w:r w:rsidRPr="000B2CBE">
              <w:rPr>
                <w:b/>
                <w:bCs/>
                <w:color w:val="000000" w:themeColor="text1"/>
                <w:lang w:val="ro-RO"/>
              </w:rPr>
              <w:t>Ajustarea de volatilitate (H</w:t>
            </w:r>
            <w:r w:rsidRPr="000B2CBE">
              <w:rPr>
                <w:rStyle w:val="subscript"/>
                <w:b/>
                <w:bCs/>
                <w:color w:val="000000" w:themeColor="text1"/>
                <w:vertAlign w:val="subscript"/>
                <w:lang w:val="ro-RO"/>
              </w:rPr>
              <w:t>c</w:t>
            </w:r>
            <w:r w:rsidRPr="000B2CBE">
              <w:rPr>
                <w:b/>
                <w:bCs/>
                <w:color w:val="000000" w:themeColor="text1"/>
                <w:lang w:val="ro-RO"/>
              </w:rPr>
              <w:t>)</w:t>
            </w:r>
          </w:p>
        </w:tc>
      </w:tr>
      <w:tr w:rsidR="000B2CBE" w:rsidRPr="00274FFD" w14:paraId="6E016A96"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498824C5"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Garanții financiare</w:t>
            </w:r>
          </w:p>
        </w:tc>
        <w:tc>
          <w:tcPr>
            <w:tcW w:w="0" w:type="auto"/>
            <w:tcBorders>
              <w:top w:val="outset" w:sz="6" w:space="0" w:color="auto"/>
              <w:left w:val="outset" w:sz="6" w:space="0" w:color="auto"/>
              <w:bottom w:val="outset" w:sz="6" w:space="0" w:color="auto"/>
              <w:right w:val="outset" w:sz="6" w:space="0" w:color="auto"/>
            </w:tcBorders>
            <w:hideMark/>
          </w:tcPr>
          <w:p w14:paraId="06F767B8"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0 %</w:t>
            </w:r>
          </w:p>
        </w:tc>
        <w:tc>
          <w:tcPr>
            <w:tcW w:w="0" w:type="auto"/>
            <w:tcBorders>
              <w:top w:val="outset" w:sz="6" w:space="0" w:color="auto"/>
              <w:left w:val="outset" w:sz="6" w:space="0" w:color="auto"/>
              <w:bottom w:val="outset" w:sz="6" w:space="0" w:color="auto"/>
              <w:right w:val="outset" w:sz="6" w:space="0" w:color="auto"/>
            </w:tcBorders>
            <w:hideMark/>
          </w:tcPr>
          <w:p w14:paraId="5C52C2A0"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Ajustarea de volatilitate H</w:t>
            </w:r>
            <w:r w:rsidRPr="000B2CBE">
              <w:rPr>
                <w:rStyle w:val="subscript"/>
                <w:color w:val="000000" w:themeColor="text1"/>
                <w:vertAlign w:val="subscript"/>
                <w:lang w:val="ro-RO"/>
              </w:rPr>
              <w:t>c</w:t>
            </w:r>
            <w:r w:rsidRPr="000B2CBE">
              <w:rPr>
                <w:color w:val="000000" w:themeColor="text1"/>
                <w:lang w:val="ro-RO"/>
              </w:rPr>
              <w:t> stabilită la</w:t>
            </w:r>
            <w:r w:rsidRPr="000B2CBE">
              <w:rPr>
                <w:rFonts w:eastAsia="Arial Unicode MS"/>
                <w:color w:val="000000" w:themeColor="text1"/>
                <w:lang w:val="ro-RO"/>
              </w:rPr>
              <w:t xml:space="preserve"> punctele 95-105</w:t>
            </w:r>
          </w:p>
        </w:tc>
      </w:tr>
      <w:tr w:rsidR="000B2CBE" w:rsidRPr="000B2CBE" w14:paraId="3C24B54F"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4762DD00"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Creanțe</w:t>
            </w:r>
          </w:p>
        </w:tc>
        <w:tc>
          <w:tcPr>
            <w:tcW w:w="0" w:type="auto"/>
            <w:tcBorders>
              <w:top w:val="outset" w:sz="6" w:space="0" w:color="auto"/>
              <w:left w:val="outset" w:sz="6" w:space="0" w:color="auto"/>
              <w:bottom w:val="outset" w:sz="6" w:space="0" w:color="auto"/>
              <w:right w:val="outset" w:sz="6" w:space="0" w:color="auto"/>
            </w:tcBorders>
            <w:hideMark/>
          </w:tcPr>
          <w:p w14:paraId="36C5210B"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20 %</w:t>
            </w:r>
          </w:p>
        </w:tc>
        <w:tc>
          <w:tcPr>
            <w:tcW w:w="0" w:type="auto"/>
            <w:tcBorders>
              <w:top w:val="outset" w:sz="6" w:space="0" w:color="auto"/>
              <w:left w:val="outset" w:sz="6" w:space="0" w:color="auto"/>
              <w:bottom w:val="outset" w:sz="6" w:space="0" w:color="auto"/>
              <w:right w:val="outset" w:sz="6" w:space="0" w:color="auto"/>
            </w:tcBorders>
            <w:hideMark/>
          </w:tcPr>
          <w:p w14:paraId="439166E2"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40 %</w:t>
            </w:r>
          </w:p>
        </w:tc>
      </w:tr>
      <w:tr w:rsidR="000B2CBE" w:rsidRPr="000B2CBE" w14:paraId="15231BB0"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674C5CEE"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Bunuri imobile locative și comerciale</w:t>
            </w:r>
          </w:p>
        </w:tc>
        <w:tc>
          <w:tcPr>
            <w:tcW w:w="0" w:type="auto"/>
            <w:tcBorders>
              <w:top w:val="outset" w:sz="6" w:space="0" w:color="auto"/>
              <w:left w:val="outset" w:sz="6" w:space="0" w:color="auto"/>
              <w:bottom w:val="outset" w:sz="6" w:space="0" w:color="auto"/>
              <w:right w:val="outset" w:sz="6" w:space="0" w:color="auto"/>
            </w:tcBorders>
            <w:hideMark/>
          </w:tcPr>
          <w:p w14:paraId="7796105E"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20 %</w:t>
            </w:r>
          </w:p>
        </w:tc>
        <w:tc>
          <w:tcPr>
            <w:tcW w:w="0" w:type="auto"/>
            <w:tcBorders>
              <w:top w:val="outset" w:sz="6" w:space="0" w:color="auto"/>
              <w:left w:val="outset" w:sz="6" w:space="0" w:color="auto"/>
              <w:bottom w:val="outset" w:sz="6" w:space="0" w:color="auto"/>
              <w:right w:val="outset" w:sz="6" w:space="0" w:color="auto"/>
            </w:tcBorders>
            <w:hideMark/>
          </w:tcPr>
          <w:p w14:paraId="52FED44B"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40 %</w:t>
            </w:r>
          </w:p>
        </w:tc>
      </w:tr>
      <w:tr w:rsidR="000B2CBE" w:rsidRPr="000B2CBE" w14:paraId="34ACE08F"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7EE9EBA0"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Alte garanții reale corporale</w:t>
            </w:r>
          </w:p>
        </w:tc>
        <w:tc>
          <w:tcPr>
            <w:tcW w:w="0" w:type="auto"/>
            <w:tcBorders>
              <w:top w:val="outset" w:sz="6" w:space="0" w:color="auto"/>
              <w:left w:val="outset" w:sz="6" w:space="0" w:color="auto"/>
              <w:bottom w:val="outset" w:sz="6" w:space="0" w:color="auto"/>
              <w:right w:val="outset" w:sz="6" w:space="0" w:color="auto"/>
            </w:tcBorders>
            <w:hideMark/>
          </w:tcPr>
          <w:p w14:paraId="6F015E45"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25 %</w:t>
            </w:r>
          </w:p>
        </w:tc>
        <w:tc>
          <w:tcPr>
            <w:tcW w:w="0" w:type="auto"/>
            <w:tcBorders>
              <w:top w:val="outset" w:sz="6" w:space="0" w:color="auto"/>
              <w:left w:val="outset" w:sz="6" w:space="0" w:color="auto"/>
              <w:bottom w:val="outset" w:sz="6" w:space="0" w:color="auto"/>
              <w:right w:val="outset" w:sz="6" w:space="0" w:color="auto"/>
            </w:tcBorders>
            <w:hideMark/>
          </w:tcPr>
          <w:p w14:paraId="228A74BB"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40 %</w:t>
            </w:r>
          </w:p>
        </w:tc>
      </w:tr>
      <w:tr w:rsidR="000B2CBE" w:rsidRPr="000B2CBE" w14:paraId="7E8DA5EA"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672F9162"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Protecție finanțată a creditului neeligibilă</w:t>
            </w:r>
          </w:p>
        </w:tc>
        <w:tc>
          <w:tcPr>
            <w:tcW w:w="0" w:type="auto"/>
            <w:tcBorders>
              <w:top w:val="outset" w:sz="6" w:space="0" w:color="auto"/>
              <w:left w:val="outset" w:sz="6" w:space="0" w:color="auto"/>
              <w:bottom w:val="outset" w:sz="6" w:space="0" w:color="auto"/>
              <w:right w:val="outset" w:sz="6" w:space="0" w:color="auto"/>
            </w:tcBorders>
            <w:hideMark/>
          </w:tcPr>
          <w:p w14:paraId="26E948BA"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N/A</w:t>
            </w:r>
          </w:p>
        </w:tc>
        <w:tc>
          <w:tcPr>
            <w:tcW w:w="0" w:type="auto"/>
            <w:tcBorders>
              <w:top w:val="outset" w:sz="6" w:space="0" w:color="auto"/>
              <w:left w:val="outset" w:sz="6" w:space="0" w:color="auto"/>
              <w:bottom w:val="outset" w:sz="6" w:space="0" w:color="auto"/>
              <w:right w:val="outset" w:sz="6" w:space="0" w:color="auto"/>
            </w:tcBorders>
            <w:hideMark/>
          </w:tcPr>
          <w:p w14:paraId="5E97BF2A" w14:textId="77777777" w:rsidR="006F667E" w:rsidRPr="000B2CBE" w:rsidRDefault="006F667E" w:rsidP="008D25C5">
            <w:pPr>
              <w:pStyle w:val="tbl-norm"/>
              <w:spacing w:before="0" w:beforeAutospacing="0" w:after="0" w:afterAutospacing="0" w:line="312" w:lineRule="atLeast"/>
              <w:jc w:val="both"/>
              <w:rPr>
                <w:color w:val="000000" w:themeColor="text1"/>
                <w:lang w:val="ro-RO"/>
              </w:rPr>
            </w:pPr>
            <w:r w:rsidRPr="000B2CBE">
              <w:rPr>
                <w:color w:val="000000" w:themeColor="text1"/>
                <w:lang w:val="ro-RO"/>
              </w:rPr>
              <w:t>100 %</w:t>
            </w:r>
          </w:p>
        </w:tc>
      </w:tr>
    </w:tbl>
    <w:p w14:paraId="1B230549" w14:textId="6380995A" w:rsidR="006F667E" w:rsidRPr="000B2CBE" w:rsidRDefault="006F667E" w:rsidP="006F667E">
      <w:pPr>
        <w:shd w:val="clear" w:color="auto" w:fill="FFFFFF"/>
        <w:spacing w:before="120"/>
        <w:jc w:val="both"/>
        <w:rPr>
          <w:rFonts w:eastAsia="Arial Unicode MS"/>
          <w:color w:val="000000" w:themeColor="text1"/>
          <w:lang w:val="ro-RO"/>
        </w:rPr>
      </w:pPr>
      <w:r w:rsidRPr="000B2CBE">
        <w:rPr>
          <w:b/>
          <w:bCs/>
          <w:color w:val="000000" w:themeColor="text1"/>
          <w:lang w:val="ro-RO"/>
        </w:rPr>
        <w:lastRenderedPageBreak/>
        <w:t>107</w:t>
      </w:r>
      <w:r w:rsidRPr="000B2CBE">
        <w:rPr>
          <w:b/>
          <w:bCs/>
          <w:color w:val="000000" w:themeColor="text1"/>
          <w:vertAlign w:val="superscript"/>
          <w:lang w:val="ro-RO"/>
        </w:rPr>
        <w:t>8</w:t>
      </w:r>
      <w:r w:rsidRPr="000B2CBE">
        <w:rPr>
          <w:b/>
          <w:bCs/>
          <w:color w:val="000000" w:themeColor="text1"/>
          <w:lang w:val="ro-RO"/>
        </w:rPr>
        <w:t xml:space="preserve">. </w:t>
      </w:r>
      <w:r w:rsidRPr="000B2CBE">
        <w:rPr>
          <w:rFonts w:eastAsia="Arial Unicode MS"/>
          <w:color w:val="000000" w:themeColor="text1"/>
          <w:lang w:val="ro-RO"/>
        </w:rPr>
        <w:t>În cazul în care o protecție finanțată a creditului eligibilă este exprimată într-o monedă diferită de cea a expunerii, ajustarea de volatilitate pentru neconcordanța de monede (</w:t>
      </w:r>
      <w:proofErr w:type="spellStart"/>
      <w:r w:rsidRPr="000B2CBE">
        <w:rPr>
          <w:rFonts w:eastAsia="Arial Unicode MS"/>
          <w:color w:val="000000" w:themeColor="text1"/>
          <w:lang w:val="ro-RO"/>
        </w:rPr>
        <w:t>H</w:t>
      </w:r>
      <w:r w:rsidRPr="000B2CBE">
        <w:rPr>
          <w:rStyle w:val="subscript"/>
          <w:rFonts w:eastAsia="Arial Unicode MS"/>
          <w:color w:val="000000" w:themeColor="text1"/>
          <w:vertAlign w:val="subscript"/>
          <w:lang w:val="ro-RO"/>
        </w:rPr>
        <w:t>fx</w:t>
      </w:r>
      <w:proofErr w:type="spellEnd"/>
      <w:r w:rsidRPr="000B2CBE">
        <w:rPr>
          <w:rFonts w:eastAsia="Arial Unicode MS"/>
          <w:color w:val="000000" w:themeColor="text1"/>
          <w:lang w:val="ro-RO"/>
        </w:rPr>
        <w:t>) este aceeași cu cea care se aplică în temeiul punctelor 95-105</w:t>
      </w:r>
      <w:r w:rsidRPr="000B2CBE">
        <w:rPr>
          <w:color w:val="000000" w:themeColor="text1"/>
          <w:lang w:val="ro-RO" w:eastAsia="ro-MD"/>
        </w:rPr>
        <w:t>.</w:t>
      </w:r>
    </w:p>
    <w:p w14:paraId="298E7DFD" w14:textId="03900A90" w:rsidR="006F667E" w:rsidRPr="000B2CBE" w:rsidRDefault="006F667E" w:rsidP="006F667E">
      <w:pPr>
        <w:shd w:val="clear" w:color="auto" w:fill="FFFFFF"/>
        <w:jc w:val="both"/>
        <w:rPr>
          <w:rFonts w:eastAsia="Arial Unicode MS"/>
          <w:color w:val="000000" w:themeColor="text1"/>
          <w:lang w:val="ro-RO"/>
        </w:rPr>
      </w:pPr>
      <w:r w:rsidRPr="000B2CBE">
        <w:rPr>
          <w:b/>
          <w:bCs/>
          <w:color w:val="000000" w:themeColor="text1"/>
          <w:lang w:val="ro-RO"/>
        </w:rPr>
        <w:t>107</w:t>
      </w:r>
      <w:r w:rsidRPr="000B2CBE">
        <w:rPr>
          <w:b/>
          <w:bCs/>
          <w:color w:val="000000" w:themeColor="text1"/>
          <w:vertAlign w:val="superscript"/>
          <w:lang w:val="ro-RO"/>
        </w:rPr>
        <w:t>9</w:t>
      </w:r>
      <w:r w:rsidRPr="000B2CBE">
        <w:rPr>
          <w:b/>
          <w:bCs/>
          <w:color w:val="000000" w:themeColor="text1"/>
          <w:lang w:val="ro-RO"/>
        </w:rPr>
        <w:t xml:space="preserve">. </w:t>
      </w:r>
      <w:r w:rsidRPr="000B2CBE">
        <w:rPr>
          <w:rFonts w:eastAsia="Arial Unicode MS"/>
          <w:color w:val="000000" w:themeColor="text1"/>
          <w:lang w:val="ro-RO"/>
        </w:rPr>
        <w:t>Ca alternativă la tratamentul prevăzut la punctele 107</w:t>
      </w:r>
      <w:r w:rsidRPr="000B2CBE">
        <w:rPr>
          <w:rFonts w:eastAsia="Arial Unicode MS"/>
          <w:color w:val="000000" w:themeColor="text1"/>
          <w:vertAlign w:val="superscript"/>
          <w:lang w:val="ro-RO"/>
        </w:rPr>
        <w:t>6</w:t>
      </w:r>
      <w:r w:rsidRPr="000B2CBE">
        <w:rPr>
          <w:rFonts w:eastAsia="Arial Unicode MS"/>
          <w:color w:val="000000" w:themeColor="text1"/>
          <w:lang w:val="ro-RO"/>
        </w:rPr>
        <w:t>-107</w:t>
      </w:r>
      <w:r w:rsidRPr="000B2CBE">
        <w:rPr>
          <w:rFonts w:eastAsia="Arial Unicode MS"/>
          <w:color w:val="000000" w:themeColor="text1"/>
          <w:vertAlign w:val="superscript"/>
          <w:lang w:val="ro-RO"/>
        </w:rPr>
        <w:t>7</w:t>
      </w:r>
      <w:r w:rsidRPr="000B2CBE">
        <w:rPr>
          <w:rFonts w:eastAsia="Arial Unicode MS"/>
          <w:color w:val="000000" w:themeColor="text1"/>
          <w:lang w:val="ro-RO"/>
        </w:rPr>
        <w:t xml:space="preserve"> și sub rezerva punctelor 683-686 din regulamentul nr.111/2018, băncile pot atribui o pondere de risc de 50 % pentru partea din expunere care este, în limitele stabilite la punctele 69 și, respectiv, 71 din Regulamentul nr.111/2018, garantată integral cu bunuri imobile locative sau comerciale situate pe teritoriul unui stat membru al Uniunii Europene, dacă sunt îndeplinite toate condițiile prevăzute la punctele 34</w:t>
      </w:r>
      <w:r w:rsidRPr="000B2CBE">
        <w:rPr>
          <w:rFonts w:eastAsia="Arial Unicode MS"/>
          <w:color w:val="000000" w:themeColor="text1"/>
          <w:vertAlign w:val="superscript"/>
          <w:lang w:val="ro-RO"/>
        </w:rPr>
        <w:t>4</w:t>
      </w:r>
      <w:r w:rsidRPr="000B2CBE">
        <w:rPr>
          <w:rFonts w:eastAsia="Arial Unicode MS"/>
          <w:color w:val="000000" w:themeColor="text1"/>
          <w:lang w:val="ro-RO"/>
        </w:rPr>
        <w:t>-34</w:t>
      </w:r>
      <w:r w:rsidRPr="000B2CBE">
        <w:rPr>
          <w:rFonts w:eastAsia="Arial Unicode MS"/>
          <w:color w:val="000000" w:themeColor="text1"/>
          <w:vertAlign w:val="superscript"/>
          <w:lang w:val="ro-RO"/>
        </w:rPr>
        <w:t>5</w:t>
      </w:r>
      <w:r w:rsidRPr="000B2CBE">
        <w:rPr>
          <w:rFonts w:eastAsia="Arial Unicode MS"/>
          <w:color w:val="000000" w:themeColor="text1"/>
          <w:lang w:val="ro-RO"/>
        </w:rPr>
        <w:t xml:space="preserve"> sau 34</w:t>
      </w:r>
      <w:r w:rsidRPr="000B2CBE">
        <w:rPr>
          <w:rFonts w:eastAsia="Arial Unicode MS"/>
          <w:color w:val="000000" w:themeColor="text1"/>
          <w:vertAlign w:val="superscript"/>
          <w:lang w:val="ro-RO"/>
        </w:rPr>
        <w:t>6</w:t>
      </w:r>
      <w:r w:rsidRPr="000B2CBE">
        <w:rPr>
          <w:rFonts w:eastAsia="Arial Unicode MS"/>
          <w:color w:val="000000" w:themeColor="text1"/>
          <w:lang w:val="ro-RO"/>
        </w:rPr>
        <w:t>-34</w:t>
      </w:r>
      <w:r w:rsidRPr="000B2CBE">
        <w:rPr>
          <w:rFonts w:eastAsia="Arial Unicode MS"/>
          <w:color w:val="000000" w:themeColor="text1"/>
          <w:vertAlign w:val="superscript"/>
          <w:lang w:val="ro-RO"/>
        </w:rPr>
        <w:t xml:space="preserve">7 </w:t>
      </w:r>
      <w:r w:rsidRPr="000B2CBE">
        <w:rPr>
          <w:rFonts w:eastAsia="Arial Unicode MS"/>
          <w:color w:val="000000" w:themeColor="text1"/>
          <w:lang w:val="ro-RO"/>
        </w:rPr>
        <w:t>din prezentul regulament.</w:t>
      </w:r>
    </w:p>
    <w:p w14:paraId="5A841CCA" w14:textId="38E0D297" w:rsidR="006F667E" w:rsidRPr="000B2CBE" w:rsidRDefault="006F667E" w:rsidP="006F667E">
      <w:pPr>
        <w:shd w:val="clear" w:color="auto" w:fill="FFFFFF"/>
        <w:jc w:val="both"/>
        <w:rPr>
          <w:rFonts w:eastAsia="Arial Unicode MS"/>
          <w:color w:val="000000" w:themeColor="text1"/>
          <w:lang w:val="ro-RO"/>
        </w:rPr>
      </w:pPr>
      <w:r w:rsidRPr="000B2CBE">
        <w:rPr>
          <w:b/>
          <w:bCs/>
          <w:color w:val="000000" w:themeColor="text1"/>
          <w:lang w:val="ro-RO"/>
        </w:rPr>
        <w:t>107</w:t>
      </w:r>
      <w:r w:rsidRPr="000B2CBE">
        <w:rPr>
          <w:b/>
          <w:bCs/>
          <w:color w:val="000000" w:themeColor="text1"/>
          <w:vertAlign w:val="superscript"/>
          <w:lang w:val="ro-RO"/>
        </w:rPr>
        <w:t>10</w:t>
      </w:r>
      <w:r w:rsidRPr="000B2CBE">
        <w:rPr>
          <w:b/>
          <w:bCs/>
          <w:color w:val="000000" w:themeColor="text1"/>
          <w:lang w:val="ro-RO"/>
        </w:rPr>
        <w:t xml:space="preserve">. </w:t>
      </w:r>
      <w:r w:rsidRPr="000B2CBE">
        <w:rPr>
          <w:rFonts w:eastAsia="Arial Unicode MS"/>
          <w:color w:val="000000" w:themeColor="text1"/>
          <w:lang w:val="ro-RO"/>
        </w:rPr>
        <w:t>Pentru a calcula valorile ponderate la risc ale expunerilor și cuantumurile pierderilor așteptate pentru expunerile IRB care intră sub incidența punctelor 68-70, băncile utilizează E* în conformitate cu punctul 71 și LGD pentru expunerile negarantate, astfel cum se prevede în actul normativ al Băncii Naționale a Moldovei aferent tratamentului riscului de credit pentru bănci potrivit abordării bazate pe modele interne de rating.</w:t>
      </w:r>
    </w:p>
    <w:p w14:paraId="19514EF9" w14:textId="77777777" w:rsidR="006F667E" w:rsidRPr="000B2CBE" w:rsidRDefault="006F667E" w:rsidP="006F667E">
      <w:pPr>
        <w:jc w:val="center"/>
        <w:rPr>
          <w:color w:val="000000" w:themeColor="text1"/>
          <w:lang w:val="ro-RO" w:eastAsia="ro-MD"/>
        </w:rPr>
      </w:pPr>
      <w:r w:rsidRPr="000B2CBE">
        <w:rPr>
          <w:color w:val="000000" w:themeColor="text1"/>
          <w:lang w:val="ro-RO" w:eastAsia="ro-MD"/>
        </w:rPr>
        <w:t> </w:t>
      </w:r>
      <w:r w:rsidRPr="000B2CBE">
        <w:rPr>
          <w:b/>
          <w:bCs/>
          <w:i/>
          <w:iCs/>
          <w:color w:val="000000" w:themeColor="text1"/>
          <w:lang w:val="ro-RO" w:eastAsia="ro-MD"/>
        </w:rPr>
        <w:t>Secțiunea a 9</w:t>
      </w:r>
      <w:r w:rsidRPr="000B2CBE">
        <w:rPr>
          <w:b/>
          <w:bCs/>
          <w:i/>
          <w:iCs/>
          <w:color w:val="000000" w:themeColor="text1"/>
          <w:vertAlign w:val="superscript"/>
          <w:lang w:val="ro-RO" w:eastAsia="ro-MD"/>
        </w:rPr>
        <w:t>3</w:t>
      </w:r>
      <w:r w:rsidRPr="000B2CBE">
        <w:rPr>
          <w:b/>
          <w:bCs/>
          <w:i/>
          <w:iCs/>
          <w:color w:val="000000" w:themeColor="text1"/>
          <w:lang w:val="ro-RO" w:eastAsia="ro-MD"/>
        </w:rPr>
        <w:t>-a</w:t>
      </w:r>
    </w:p>
    <w:p w14:paraId="5F4F54E9" w14:textId="77777777" w:rsidR="006F667E" w:rsidRPr="000B2CBE" w:rsidRDefault="006F667E" w:rsidP="006F667E">
      <w:pPr>
        <w:pStyle w:val="title-article-norm"/>
        <w:shd w:val="clear" w:color="auto" w:fill="FFFFFF"/>
        <w:spacing w:before="0" w:beforeAutospacing="0" w:after="0" w:afterAutospacing="0" w:line="312" w:lineRule="atLeast"/>
        <w:jc w:val="center"/>
        <w:rPr>
          <w:rFonts w:eastAsia="Arial Unicode MS"/>
          <w:b/>
          <w:bCs/>
          <w:color w:val="000000" w:themeColor="text1"/>
          <w:lang w:val="ro-RO"/>
        </w:rPr>
      </w:pPr>
      <w:r w:rsidRPr="000B2CBE">
        <w:rPr>
          <w:rFonts w:eastAsia="Arial Unicode MS"/>
          <w:b/>
          <w:bCs/>
          <w:color w:val="000000" w:themeColor="text1"/>
          <w:lang w:val="ro-RO"/>
        </w:rPr>
        <w:t>Calculul cuantumurilor ponderate la risc ale expunerilor și al cuantumurilor pierderilor așteptate în cazul portofoliilor de protecții finanțate ale creditului eligibile pentru o expunere tratată conform abordării IRB</w:t>
      </w:r>
    </w:p>
    <w:p w14:paraId="0179602A" w14:textId="3C63DD0A" w:rsidR="006F667E" w:rsidRPr="000B2CBE"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0B2CBE">
        <w:rPr>
          <w:b/>
          <w:bCs/>
          <w:color w:val="000000" w:themeColor="text1"/>
          <w:lang w:val="ro-RO"/>
        </w:rPr>
        <w:t>107</w:t>
      </w:r>
      <w:r w:rsidRPr="000B2CBE">
        <w:rPr>
          <w:b/>
          <w:bCs/>
          <w:color w:val="000000" w:themeColor="text1"/>
          <w:vertAlign w:val="superscript"/>
          <w:lang w:val="ro-RO"/>
        </w:rPr>
        <w:t>1</w:t>
      </w:r>
      <w:r w:rsidR="00200D4A" w:rsidRPr="000B2CBE">
        <w:rPr>
          <w:b/>
          <w:bCs/>
          <w:color w:val="000000" w:themeColor="text1"/>
          <w:vertAlign w:val="superscript"/>
          <w:lang w:val="ro-RO"/>
        </w:rPr>
        <w:t>1</w:t>
      </w:r>
      <w:r w:rsidRPr="000B2CBE">
        <w:rPr>
          <w:b/>
          <w:bCs/>
          <w:color w:val="000000" w:themeColor="text1"/>
          <w:lang w:val="ro-RO"/>
        </w:rPr>
        <w:t xml:space="preserve">. </w:t>
      </w:r>
      <w:r w:rsidRPr="000B2CBE">
        <w:rPr>
          <w:rFonts w:eastAsia="Arial Unicode MS"/>
          <w:color w:val="000000" w:themeColor="text1"/>
          <w:lang w:val="ro-RO"/>
        </w:rPr>
        <w:t>Băncile care au obținut mai multe tipuri de protecție finanțată a creditului pot, pentru expunerile tratate conform abordării IRB, să aplice formula prevăzută la secțiunea 9</w:t>
      </w:r>
      <w:r w:rsidRPr="000B2CBE">
        <w:rPr>
          <w:rFonts w:eastAsia="Arial Unicode MS"/>
          <w:color w:val="000000" w:themeColor="text1"/>
          <w:vertAlign w:val="superscript"/>
          <w:lang w:val="ro-RO"/>
        </w:rPr>
        <w:t>2</w:t>
      </w:r>
      <w:r w:rsidRPr="000B2CBE">
        <w:rPr>
          <w:rFonts w:eastAsia="Arial Unicode MS"/>
          <w:color w:val="000000" w:themeColor="text1"/>
          <w:lang w:val="ro-RO"/>
        </w:rPr>
        <w:t xml:space="preserve"> din prezentul capitol în mod secvențial pentru fiecare tip de garanție reală. </w:t>
      </w:r>
    </w:p>
    <w:p w14:paraId="286AE5DA" w14:textId="63C1546A" w:rsidR="006F667E" w:rsidRPr="000B2CBE"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0B2CBE">
        <w:rPr>
          <w:b/>
          <w:bCs/>
          <w:color w:val="000000" w:themeColor="text1"/>
          <w:lang w:val="ro-RO"/>
        </w:rPr>
        <w:t>107</w:t>
      </w:r>
      <w:r w:rsidRPr="000B2CBE">
        <w:rPr>
          <w:b/>
          <w:bCs/>
          <w:color w:val="000000" w:themeColor="text1"/>
          <w:vertAlign w:val="superscript"/>
          <w:lang w:val="ro-RO"/>
        </w:rPr>
        <w:t>1</w:t>
      </w:r>
      <w:r w:rsidR="00200D4A" w:rsidRPr="000B2CBE">
        <w:rPr>
          <w:b/>
          <w:bCs/>
          <w:color w:val="000000" w:themeColor="text1"/>
          <w:vertAlign w:val="superscript"/>
          <w:lang w:val="ro-RO"/>
        </w:rPr>
        <w:t>2</w:t>
      </w:r>
      <w:r w:rsidRPr="000B2CBE">
        <w:rPr>
          <w:b/>
          <w:bCs/>
          <w:color w:val="000000" w:themeColor="text1"/>
          <w:lang w:val="ro-RO"/>
        </w:rPr>
        <w:t xml:space="preserve">. </w:t>
      </w:r>
      <w:r w:rsidRPr="000B2CBE">
        <w:rPr>
          <w:rFonts w:eastAsia="Arial Unicode MS"/>
          <w:color w:val="000000" w:themeColor="text1"/>
          <w:lang w:val="ro-RO"/>
        </w:rPr>
        <w:t>În scopul punctului 107</w:t>
      </w:r>
      <w:r w:rsidRPr="000B2CBE">
        <w:rPr>
          <w:rFonts w:eastAsia="Arial Unicode MS"/>
          <w:color w:val="000000" w:themeColor="text1"/>
          <w:vertAlign w:val="superscript"/>
          <w:lang w:val="ro-RO"/>
        </w:rPr>
        <w:t>1</w:t>
      </w:r>
      <w:r w:rsidR="00200D4A" w:rsidRPr="000B2CBE">
        <w:rPr>
          <w:rFonts w:eastAsia="Arial Unicode MS"/>
          <w:color w:val="000000" w:themeColor="text1"/>
          <w:vertAlign w:val="superscript"/>
          <w:lang w:val="ro-RO"/>
        </w:rPr>
        <w:t>1</w:t>
      </w:r>
      <w:r w:rsidRPr="000B2CBE">
        <w:rPr>
          <w:rFonts w:eastAsia="Arial Unicode MS"/>
          <w:color w:val="000000" w:themeColor="text1"/>
          <w:lang w:val="ro-RO"/>
        </w:rPr>
        <w:t>, după fiecare etapă de recunoaștere a unui tip de protecție finanțată a creditului, băncile reduc valoarea expunerii negarantate rămase (E</w:t>
      </w:r>
      <w:r w:rsidRPr="000B2CBE">
        <w:rPr>
          <w:rStyle w:val="subscript"/>
          <w:rFonts w:eastAsia="Arial Unicode MS"/>
          <w:color w:val="000000" w:themeColor="text1"/>
          <w:vertAlign w:val="subscript"/>
          <w:lang w:val="ro-RO"/>
        </w:rPr>
        <w:t>U</w:t>
      </w:r>
      <w:r w:rsidRPr="000B2CBE">
        <w:rPr>
          <w:rFonts w:eastAsia="Arial Unicode MS"/>
          <w:color w:val="000000" w:themeColor="text1"/>
          <w:lang w:val="ro-RO"/>
        </w:rPr>
        <w:t>) cu valoarea ajustată a garanției reale (E</w:t>
      </w:r>
      <w:r w:rsidRPr="000B2CBE">
        <w:rPr>
          <w:rStyle w:val="subscript"/>
          <w:rFonts w:eastAsia="Arial Unicode MS"/>
          <w:color w:val="000000" w:themeColor="text1"/>
          <w:vertAlign w:val="subscript"/>
          <w:lang w:val="ro-RO"/>
        </w:rPr>
        <w:t>S</w:t>
      </w:r>
      <w:r w:rsidRPr="000B2CBE">
        <w:rPr>
          <w:rFonts w:eastAsia="Arial Unicode MS"/>
          <w:color w:val="000000" w:themeColor="text1"/>
          <w:lang w:val="ro-RO"/>
        </w:rPr>
        <w:t>) recunoscute în etapa respectivă. În conformitate cu punctul 107</w:t>
      </w:r>
      <w:r w:rsidRPr="000B2CBE">
        <w:rPr>
          <w:rFonts w:eastAsia="Arial Unicode MS"/>
          <w:color w:val="000000" w:themeColor="text1"/>
          <w:vertAlign w:val="superscript"/>
          <w:lang w:val="ro-RO"/>
        </w:rPr>
        <w:t>6</w:t>
      </w:r>
      <w:r w:rsidRPr="000B2CBE">
        <w:rPr>
          <w:rFonts w:eastAsia="Arial Unicode MS"/>
          <w:color w:val="000000" w:themeColor="text1"/>
          <w:lang w:val="ro-RO"/>
        </w:rPr>
        <w:t>, totalul E</w:t>
      </w:r>
      <w:r w:rsidRPr="000B2CBE">
        <w:rPr>
          <w:rStyle w:val="subscript"/>
          <w:rFonts w:eastAsia="Arial Unicode MS"/>
          <w:color w:val="000000" w:themeColor="text1"/>
          <w:vertAlign w:val="subscript"/>
          <w:lang w:val="ro-RO"/>
        </w:rPr>
        <w:t>S</w:t>
      </w:r>
      <w:r w:rsidRPr="000B2CBE">
        <w:rPr>
          <w:rFonts w:eastAsia="Arial Unicode MS"/>
          <w:color w:val="000000" w:themeColor="text1"/>
          <w:lang w:val="ro-RO"/>
        </w:rPr>
        <w:t> pentru toate tipurile de protecție finanțată a creditului este plafonat la valoarea E·(1+H</w:t>
      </w:r>
      <w:r w:rsidRPr="000B2CBE">
        <w:rPr>
          <w:rStyle w:val="subscript"/>
          <w:rFonts w:eastAsia="Arial Unicode MS"/>
          <w:color w:val="000000" w:themeColor="text1"/>
          <w:vertAlign w:val="subscript"/>
          <w:lang w:val="ro-RO"/>
        </w:rPr>
        <w:t>E</w:t>
      </w:r>
      <w:r w:rsidRPr="000B2CBE">
        <w:rPr>
          <w:rFonts w:eastAsia="Arial Unicode MS"/>
          <w:color w:val="000000" w:themeColor="text1"/>
          <w:lang w:val="ro-RO"/>
        </w:rPr>
        <w:t>), având ca rezultat următoarea formulă:</w:t>
      </w:r>
    </w:p>
    <w:p w14:paraId="2800B7B0" w14:textId="77777777" w:rsidR="006F667E" w:rsidRPr="000B2CBE"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0B2CBE">
        <w:rPr>
          <w:b/>
          <w:bCs/>
          <w:noProof/>
          <w:color w:val="000000" w:themeColor="text1"/>
          <w:lang w:val="ro-RO"/>
        </w:rPr>
        <w:drawing>
          <wp:inline distT="0" distB="0" distL="0" distR="0" wp14:anchorId="6800D7CF" wp14:editId="03640C2D">
            <wp:extent cx="3714750" cy="4953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0" cy="495300"/>
                    </a:xfrm>
                    <a:prstGeom prst="rect">
                      <a:avLst/>
                    </a:prstGeom>
                    <a:noFill/>
                    <a:ln>
                      <a:noFill/>
                    </a:ln>
                  </pic:spPr>
                </pic:pic>
              </a:graphicData>
            </a:graphic>
          </wp:inline>
        </w:drawing>
      </w:r>
    </w:p>
    <w:p w14:paraId="3E939199" w14:textId="77777777" w:rsidR="006F667E" w:rsidRPr="000B2CBE"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0B2CBE">
        <w:rPr>
          <w:rFonts w:eastAsia="Arial Unicode MS"/>
          <w:color w:val="000000" w:themeColor="text1"/>
          <w:lang w:val="ro-RO"/>
        </w:rPr>
        <w:t>unde:</w:t>
      </w:r>
    </w:p>
    <w:tbl>
      <w:tblPr>
        <w:tblW w:w="5000" w:type="pct"/>
        <w:tblCellMar>
          <w:left w:w="0" w:type="dxa"/>
          <w:right w:w="0" w:type="dxa"/>
        </w:tblCellMar>
        <w:tblLook w:val="04A0" w:firstRow="1" w:lastRow="0" w:firstColumn="1" w:lastColumn="0" w:noHBand="0" w:noVBand="1"/>
      </w:tblPr>
      <w:tblGrid>
        <w:gridCol w:w="955"/>
        <w:gridCol w:w="8734"/>
      </w:tblGrid>
      <w:tr w:rsidR="000B2CBE" w:rsidRPr="000B2CBE" w14:paraId="7BDC9438" w14:textId="77777777" w:rsidTr="008D25C5">
        <w:tc>
          <w:tcPr>
            <w:tcW w:w="0" w:type="auto"/>
            <w:hideMark/>
          </w:tcPr>
          <w:p w14:paraId="3E4574AF" w14:textId="77777777" w:rsidR="006F667E" w:rsidRPr="000B2CBE" w:rsidRDefault="006F667E" w:rsidP="008D25C5">
            <w:pPr>
              <w:pStyle w:val="dlist-term"/>
              <w:spacing w:before="0" w:beforeAutospacing="0" w:after="0" w:afterAutospacing="0" w:line="312" w:lineRule="atLeast"/>
              <w:rPr>
                <w:color w:val="000000" w:themeColor="text1"/>
                <w:lang w:val="ro-RO"/>
              </w:rPr>
            </w:pPr>
            <w:proofErr w:type="spellStart"/>
            <w:r w:rsidRPr="000B2CBE">
              <w:rPr>
                <w:color w:val="000000" w:themeColor="text1"/>
                <w:lang w:val="ro-RO"/>
              </w:rPr>
              <w:t>LGD</w:t>
            </w:r>
            <w:r w:rsidRPr="000B2CBE">
              <w:rPr>
                <w:rStyle w:val="subscript"/>
                <w:color w:val="000000" w:themeColor="text1"/>
                <w:vertAlign w:val="subscript"/>
                <w:lang w:val="ro-RO"/>
              </w:rPr>
              <w:t>S,i</w:t>
            </w:r>
            <w:proofErr w:type="spellEnd"/>
          </w:p>
        </w:tc>
        <w:tc>
          <w:tcPr>
            <w:tcW w:w="0" w:type="auto"/>
            <w:hideMark/>
          </w:tcPr>
          <w:p w14:paraId="099A347F" w14:textId="77777777" w:rsidR="006F667E" w:rsidRPr="000B2CBE" w:rsidRDefault="006F667E" w:rsidP="008D25C5">
            <w:pPr>
              <w:pStyle w:val="norm"/>
              <w:spacing w:before="0" w:beforeAutospacing="0" w:after="0" w:afterAutospacing="0" w:line="312" w:lineRule="atLeast"/>
              <w:jc w:val="both"/>
              <w:rPr>
                <w:color w:val="000000" w:themeColor="text1"/>
                <w:lang w:val="ro-RO"/>
              </w:rPr>
            </w:pPr>
            <w:r w:rsidRPr="000B2CBE">
              <w:rPr>
                <w:color w:val="000000" w:themeColor="text1"/>
                <w:lang w:val="ro-RO"/>
              </w:rPr>
              <w:t xml:space="preserve">= LGD aplicabilă </w:t>
            </w:r>
            <w:proofErr w:type="spellStart"/>
            <w:r w:rsidRPr="000B2CBE">
              <w:rPr>
                <w:color w:val="000000" w:themeColor="text1"/>
                <w:lang w:val="ro-RO"/>
              </w:rPr>
              <w:t>FCPi</w:t>
            </w:r>
            <w:proofErr w:type="spellEnd"/>
            <w:r w:rsidRPr="000B2CBE">
              <w:rPr>
                <w:color w:val="000000" w:themeColor="text1"/>
                <w:lang w:val="ro-RO"/>
              </w:rPr>
              <w:t>, astfel cum se specifică la punctul 107</w:t>
            </w:r>
            <w:r w:rsidRPr="000B2CBE">
              <w:rPr>
                <w:color w:val="000000" w:themeColor="text1"/>
                <w:vertAlign w:val="superscript"/>
                <w:lang w:val="ro-RO"/>
              </w:rPr>
              <w:t>7</w:t>
            </w:r>
            <w:r w:rsidRPr="000B2CBE">
              <w:rPr>
                <w:color w:val="000000" w:themeColor="text1"/>
                <w:lang w:val="ro-RO"/>
              </w:rPr>
              <w:t>;</w:t>
            </w:r>
          </w:p>
        </w:tc>
      </w:tr>
    </w:tbl>
    <w:p w14:paraId="582F2F5D" w14:textId="77777777" w:rsidR="006F667E" w:rsidRPr="000B2CBE" w:rsidRDefault="006F667E" w:rsidP="006F667E">
      <w:pPr>
        <w:shd w:val="clear" w:color="auto" w:fill="FFFFFF"/>
        <w:rPr>
          <w:rFonts w:eastAsia="Arial Unicode MS"/>
          <w:vanish/>
          <w:color w:val="000000" w:themeColor="text1"/>
          <w:lang w:val="ro-RO"/>
        </w:rPr>
      </w:pPr>
    </w:p>
    <w:tbl>
      <w:tblPr>
        <w:tblW w:w="5000" w:type="pct"/>
        <w:tblCellMar>
          <w:left w:w="0" w:type="dxa"/>
          <w:right w:w="0" w:type="dxa"/>
        </w:tblCellMar>
        <w:tblLook w:val="04A0" w:firstRow="1" w:lastRow="0" w:firstColumn="1" w:lastColumn="0" w:noHBand="0" w:noVBand="1"/>
      </w:tblPr>
      <w:tblGrid>
        <w:gridCol w:w="321"/>
        <w:gridCol w:w="9368"/>
      </w:tblGrid>
      <w:tr w:rsidR="000B2CBE" w:rsidRPr="00274FFD" w14:paraId="6AD7BC91" w14:textId="77777777" w:rsidTr="006F667E">
        <w:trPr>
          <w:trHeight w:val="80"/>
        </w:trPr>
        <w:tc>
          <w:tcPr>
            <w:tcW w:w="0" w:type="auto"/>
            <w:hideMark/>
          </w:tcPr>
          <w:p w14:paraId="2538E8EA" w14:textId="77777777" w:rsidR="006F667E" w:rsidRPr="000B2CBE" w:rsidRDefault="006F667E" w:rsidP="008D25C5">
            <w:pPr>
              <w:pStyle w:val="dlist-term"/>
              <w:spacing w:before="0" w:beforeAutospacing="0" w:after="0" w:afterAutospacing="0" w:line="312" w:lineRule="atLeast"/>
              <w:rPr>
                <w:color w:val="000000" w:themeColor="text1"/>
                <w:lang w:val="ro-RO"/>
              </w:rPr>
            </w:pPr>
            <w:proofErr w:type="spellStart"/>
            <w:r w:rsidRPr="000B2CBE">
              <w:rPr>
                <w:color w:val="000000" w:themeColor="text1"/>
                <w:lang w:val="ro-RO"/>
              </w:rPr>
              <w:t>E</w:t>
            </w:r>
            <w:r w:rsidRPr="000B2CBE">
              <w:rPr>
                <w:rStyle w:val="subscript"/>
                <w:color w:val="000000" w:themeColor="text1"/>
                <w:vertAlign w:val="subscript"/>
                <w:lang w:val="ro-RO"/>
              </w:rPr>
              <w:t>S,i</w:t>
            </w:r>
            <w:proofErr w:type="spellEnd"/>
          </w:p>
        </w:tc>
        <w:tc>
          <w:tcPr>
            <w:tcW w:w="0" w:type="auto"/>
            <w:hideMark/>
          </w:tcPr>
          <w:p w14:paraId="134C2297" w14:textId="73F93437" w:rsidR="006F667E" w:rsidRPr="000B2CBE" w:rsidRDefault="006F667E" w:rsidP="00915EB3">
            <w:pPr>
              <w:pStyle w:val="norm"/>
              <w:spacing w:before="0" w:beforeAutospacing="0" w:after="0" w:afterAutospacing="0" w:line="312" w:lineRule="atLeast"/>
              <w:ind w:left="-315" w:firstLine="315"/>
              <w:jc w:val="both"/>
              <w:rPr>
                <w:color w:val="000000" w:themeColor="text1"/>
                <w:lang w:val="ro-RO"/>
              </w:rPr>
            </w:pPr>
            <w:r w:rsidRPr="000B2CBE">
              <w:rPr>
                <w:color w:val="000000" w:themeColor="text1"/>
                <w:lang w:val="ro-RO"/>
              </w:rPr>
              <w:t>= valoarea curentă a </w:t>
            </w:r>
            <w:proofErr w:type="spellStart"/>
            <w:r w:rsidRPr="000B2CBE">
              <w:rPr>
                <w:color w:val="000000" w:themeColor="text1"/>
                <w:lang w:val="ro-RO"/>
              </w:rPr>
              <w:t>FCPi</w:t>
            </w:r>
            <w:proofErr w:type="spellEnd"/>
            <w:r w:rsidRPr="000B2CBE">
              <w:rPr>
                <w:color w:val="000000" w:themeColor="text1"/>
                <w:lang w:val="ro-RO"/>
              </w:rPr>
              <w:t> primită după aplicarea ajustării de volatilitate aplicabile pentru tipul de protecție finanțată a creditului (H</w:t>
            </w:r>
            <w:r w:rsidRPr="000B2CBE">
              <w:rPr>
                <w:rStyle w:val="subscript"/>
                <w:color w:val="000000" w:themeColor="text1"/>
                <w:vertAlign w:val="subscript"/>
                <w:lang w:val="ro-RO"/>
              </w:rPr>
              <w:t>c</w:t>
            </w:r>
            <w:r w:rsidRPr="000B2CBE">
              <w:rPr>
                <w:color w:val="000000" w:themeColor="text1"/>
                <w:lang w:val="ro-RO"/>
              </w:rPr>
              <w:t>) în temeiul punctului 107</w:t>
            </w:r>
            <w:r w:rsidRPr="000B2CBE">
              <w:rPr>
                <w:color w:val="000000" w:themeColor="text1"/>
                <w:vertAlign w:val="superscript"/>
                <w:lang w:val="ro-RO"/>
              </w:rPr>
              <w:t>7</w:t>
            </w:r>
            <w:r w:rsidRPr="000B2CBE">
              <w:rPr>
                <w:color w:val="000000" w:themeColor="text1"/>
                <w:lang w:val="ro-RO"/>
              </w:rPr>
              <w:t>.</w:t>
            </w:r>
            <w:r w:rsidRPr="000B2CBE">
              <w:rPr>
                <w:color w:val="000000" w:themeColor="text1"/>
                <w:sz w:val="18"/>
                <w:szCs w:val="18"/>
                <w:lang w:val="ro-RO"/>
              </w:rPr>
              <w:t>”</w:t>
            </w:r>
          </w:p>
        </w:tc>
      </w:tr>
    </w:tbl>
    <w:p w14:paraId="2138E147" w14:textId="1136C661" w:rsidR="007E6E1A" w:rsidRPr="000B2CBE" w:rsidRDefault="000D2636" w:rsidP="00F7502D">
      <w:pPr>
        <w:pStyle w:val="ListParagraph"/>
        <w:numPr>
          <w:ilvl w:val="1"/>
          <w:numId w:val="27"/>
        </w:numPr>
        <w:tabs>
          <w:tab w:val="left" w:pos="567"/>
        </w:tabs>
        <w:spacing w:before="80"/>
        <w:ind w:left="0" w:firstLine="567"/>
        <w:contextualSpacing w:val="0"/>
        <w:jc w:val="both"/>
        <w:rPr>
          <w:color w:val="000000" w:themeColor="text1"/>
          <w:lang w:val="ro-RO"/>
        </w:rPr>
      </w:pPr>
      <w:r w:rsidRPr="000B2CBE">
        <w:rPr>
          <w:color w:val="000000" w:themeColor="text1"/>
          <w:lang w:val="ro-RO" w:eastAsia="ro-MD"/>
        </w:rPr>
        <w:t>Se completează cu punctele 108</w:t>
      </w:r>
      <w:r w:rsidRPr="000B2CBE">
        <w:rPr>
          <w:color w:val="000000" w:themeColor="text1"/>
          <w:vertAlign w:val="superscript"/>
          <w:lang w:val="ro-RO" w:eastAsia="ro-MD"/>
        </w:rPr>
        <w:t>1</w:t>
      </w:r>
      <w:r w:rsidRPr="000B2CBE">
        <w:rPr>
          <w:color w:val="000000" w:themeColor="text1"/>
          <w:lang w:val="ro-RO" w:eastAsia="ro-MD"/>
        </w:rPr>
        <w:t xml:space="preserve"> și 108</w:t>
      </w:r>
      <w:r w:rsidRPr="000B2CBE">
        <w:rPr>
          <w:color w:val="000000" w:themeColor="text1"/>
          <w:vertAlign w:val="superscript"/>
          <w:lang w:val="ro-RO" w:eastAsia="ro-MD"/>
        </w:rPr>
        <w:t>2</w:t>
      </w:r>
      <w:r w:rsidRPr="000B2CBE">
        <w:rPr>
          <w:color w:val="000000" w:themeColor="text1"/>
          <w:lang w:val="ro-RO" w:eastAsia="ro-MD"/>
        </w:rPr>
        <w:t xml:space="preserve"> cu următorul cuprins:</w:t>
      </w:r>
    </w:p>
    <w:p w14:paraId="40D2A645" w14:textId="77777777" w:rsidR="000D2636" w:rsidRPr="000B2CBE" w:rsidRDefault="000D2636" w:rsidP="000D2636">
      <w:pPr>
        <w:jc w:val="both"/>
        <w:rPr>
          <w:color w:val="000000" w:themeColor="text1"/>
          <w:lang w:val="ro-RO" w:eastAsia="ro-MD"/>
        </w:rPr>
      </w:pPr>
      <w:r w:rsidRPr="000B2CBE">
        <w:rPr>
          <w:color w:val="000000" w:themeColor="text1"/>
          <w:lang w:val="ro-RO"/>
        </w:rPr>
        <w:t>„</w:t>
      </w:r>
      <w:r w:rsidRPr="000B2CBE">
        <w:rPr>
          <w:b/>
          <w:bCs/>
          <w:color w:val="000000" w:themeColor="text1"/>
          <w:lang w:val="ro-RO" w:eastAsia="ro-MD"/>
        </w:rPr>
        <w:t>108</w:t>
      </w:r>
      <w:r w:rsidRPr="000B2CBE">
        <w:rPr>
          <w:b/>
          <w:bCs/>
          <w:color w:val="000000" w:themeColor="text1"/>
          <w:vertAlign w:val="superscript"/>
          <w:lang w:val="ro-RO" w:eastAsia="ro-MD"/>
        </w:rPr>
        <w:t>1</w:t>
      </w:r>
      <w:r w:rsidRPr="000B2CBE">
        <w:rPr>
          <w:b/>
          <w:bCs/>
          <w:color w:val="000000" w:themeColor="text1"/>
          <w:lang w:val="ro-RO" w:eastAsia="ro-MD"/>
        </w:rPr>
        <w:t xml:space="preserve">. </w:t>
      </w:r>
      <w:r w:rsidRPr="000B2CBE">
        <w:rPr>
          <w:color w:val="000000" w:themeColor="text1"/>
          <w:lang w:val="ro-RO" w:eastAsia="ro-MD"/>
        </w:rPr>
        <w:t>Dacă sunt îndeplinite condițiile prevăzute la punctul 51</w:t>
      </w:r>
      <w:r w:rsidRPr="000B2CBE">
        <w:rPr>
          <w:color w:val="000000" w:themeColor="text1"/>
          <w:vertAlign w:val="superscript"/>
          <w:lang w:val="ro-RO" w:eastAsia="ro-MD"/>
        </w:rPr>
        <w:t>1</w:t>
      </w:r>
      <w:r w:rsidRPr="000B2CBE">
        <w:rPr>
          <w:color w:val="000000" w:themeColor="text1"/>
          <w:lang w:val="ro-RO" w:eastAsia="ro-MD"/>
        </w:rPr>
        <w:t>, băncile trebuie să aplice următorul tratament pentru partea din expunere garantată cu valoarea curentă de răscumpărare a polițelor de asigurare de viață gajate în favoarea băncii creditoare:</w:t>
      </w:r>
    </w:p>
    <w:p w14:paraId="6C418EB7" w14:textId="77777777" w:rsidR="000D2636" w:rsidRPr="000B2CBE" w:rsidRDefault="000D2636" w:rsidP="000D2636">
      <w:pPr>
        <w:ind w:firstLine="567"/>
        <w:jc w:val="both"/>
        <w:rPr>
          <w:color w:val="000000" w:themeColor="text1"/>
          <w:lang w:val="ro-RO" w:eastAsia="ro-MD"/>
        </w:rPr>
      </w:pPr>
      <w:r w:rsidRPr="000B2CBE">
        <w:rPr>
          <w:color w:val="000000" w:themeColor="text1"/>
          <w:lang w:val="ro-RO" w:eastAsia="ro-MD"/>
        </w:rPr>
        <w:t>1) dacă expunerea face obiectul abordării standardizate, aceasta trebuie ponderată la risc utilizând ponderile de risc specificate la punctul 108</w:t>
      </w:r>
      <w:r w:rsidRPr="000B2CBE">
        <w:rPr>
          <w:color w:val="000000" w:themeColor="text1"/>
          <w:vertAlign w:val="superscript"/>
          <w:lang w:val="ro-RO" w:eastAsia="ro-MD"/>
        </w:rPr>
        <w:t>2</w:t>
      </w:r>
      <w:r w:rsidRPr="000B2CBE">
        <w:rPr>
          <w:color w:val="000000" w:themeColor="text1"/>
          <w:lang w:val="ro-RO" w:eastAsia="ro-MD"/>
        </w:rPr>
        <w:t>;</w:t>
      </w:r>
    </w:p>
    <w:p w14:paraId="2A0CE0AB" w14:textId="77777777" w:rsidR="000D2636" w:rsidRPr="000B2CBE" w:rsidRDefault="000D2636" w:rsidP="000D2636">
      <w:pPr>
        <w:ind w:firstLine="567"/>
        <w:jc w:val="both"/>
        <w:rPr>
          <w:color w:val="000000" w:themeColor="text1"/>
          <w:lang w:val="ro-RO" w:eastAsia="ro-MD"/>
        </w:rPr>
      </w:pPr>
      <w:r w:rsidRPr="000B2CBE">
        <w:rPr>
          <w:color w:val="000000" w:themeColor="text1"/>
          <w:lang w:val="ro-RO" w:eastAsia="ro-MD"/>
        </w:rPr>
        <w:t>2) dacă expunerea face obiectul abordării IRB dar nu și al estimărilor proprii ale băncii cu privire la pierderea în caz de nerambursare, i se atribuie o pierdere în caz de nerambursare de 40 %.</w:t>
      </w:r>
    </w:p>
    <w:p w14:paraId="4B13C009" w14:textId="010065DA" w:rsidR="000D2636" w:rsidRPr="000B2CBE" w:rsidRDefault="000D2636" w:rsidP="000D2636">
      <w:pPr>
        <w:ind w:firstLine="567"/>
        <w:jc w:val="both"/>
        <w:rPr>
          <w:color w:val="000000" w:themeColor="text1"/>
          <w:lang w:val="ro-RO" w:eastAsia="ro-MD"/>
        </w:rPr>
      </w:pPr>
      <w:r w:rsidRPr="000B2CBE">
        <w:rPr>
          <w:color w:val="000000" w:themeColor="text1"/>
          <w:lang w:val="ro-RO" w:eastAsia="ro-MD"/>
        </w:rPr>
        <w:t>În cazul unei neconcordanțe de monede, băncile trebuie să reducă valoarea curentă de răscumpărare în conformitate cu punctul 112, valoarea protecției creditului fiind valoarea curentă de răscumpărare a poliței de asigurare de viață.</w:t>
      </w:r>
    </w:p>
    <w:p w14:paraId="4FBAF0C9" w14:textId="77777777" w:rsidR="000D2636" w:rsidRPr="000B2CBE" w:rsidRDefault="000D2636" w:rsidP="00D244A6">
      <w:pPr>
        <w:jc w:val="both"/>
        <w:rPr>
          <w:color w:val="000000" w:themeColor="text1"/>
          <w:lang w:val="ro-RO" w:eastAsia="ro-MD"/>
        </w:rPr>
      </w:pPr>
      <w:r w:rsidRPr="000B2CBE">
        <w:rPr>
          <w:b/>
          <w:bCs/>
          <w:color w:val="000000" w:themeColor="text1"/>
          <w:lang w:val="ro-RO" w:eastAsia="ro-MD"/>
        </w:rPr>
        <w:lastRenderedPageBreak/>
        <w:t>108</w:t>
      </w:r>
      <w:r w:rsidRPr="000B2CBE">
        <w:rPr>
          <w:b/>
          <w:bCs/>
          <w:color w:val="000000" w:themeColor="text1"/>
          <w:vertAlign w:val="superscript"/>
          <w:lang w:val="ro-RO" w:eastAsia="ro-MD"/>
        </w:rPr>
        <w:t>2</w:t>
      </w:r>
      <w:r w:rsidRPr="000B2CBE">
        <w:rPr>
          <w:b/>
          <w:bCs/>
          <w:color w:val="000000" w:themeColor="text1"/>
          <w:lang w:val="ro-RO" w:eastAsia="ro-MD"/>
        </w:rPr>
        <w:t>.</w:t>
      </w:r>
      <w:r w:rsidRPr="000B2CBE">
        <w:rPr>
          <w:color w:val="000000" w:themeColor="text1"/>
          <w:lang w:val="ro-RO" w:eastAsia="ro-MD"/>
        </w:rPr>
        <w:t xml:space="preserve"> În sensul punctului 108</w:t>
      </w:r>
      <w:r w:rsidRPr="000B2CBE">
        <w:rPr>
          <w:color w:val="000000" w:themeColor="text1"/>
          <w:vertAlign w:val="superscript"/>
          <w:lang w:val="ro-RO" w:eastAsia="ro-MD"/>
        </w:rPr>
        <w:t>1</w:t>
      </w:r>
      <w:r w:rsidRPr="000B2CBE">
        <w:rPr>
          <w:color w:val="000000" w:themeColor="text1"/>
          <w:lang w:val="ro-RO" w:eastAsia="ro-MD"/>
        </w:rPr>
        <w:t xml:space="preserve"> subpunctul 1), băncile atribuie următoarele ponderi de risc, pe baza ponderii de risc atribuite unei expuneri cu rang prioritar negarantată față de întreprinderea care furnizează asigurarea de viață:</w:t>
      </w:r>
    </w:p>
    <w:p w14:paraId="51B42EDA" w14:textId="0091B07B" w:rsidR="000D2636" w:rsidRPr="000B2CBE" w:rsidRDefault="000D2636" w:rsidP="000D2636">
      <w:pPr>
        <w:ind w:firstLine="567"/>
        <w:jc w:val="both"/>
        <w:rPr>
          <w:color w:val="000000" w:themeColor="text1"/>
          <w:lang w:val="ro-RO" w:eastAsia="ro-MD"/>
        </w:rPr>
      </w:pPr>
      <w:r w:rsidRPr="000B2CBE">
        <w:rPr>
          <w:color w:val="000000" w:themeColor="text1"/>
          <w:lang w:val="ro-RO" w:eastAsia="ro-MD"/>
        </w:rPr>
        <w:t>1) o pondere de risc de 20%, dacă expunerii cu rang prioritar negarantate față de întreprinderea care furnizează asigurarea de viață i se atribuie o pondere de risc de 20%;</w:t>
      </w:r>
    </w:p>
    <w:p w14:paraId="08764740" w14:textId="061F79D6" w:rsidR="000D2636" w:rsidRPr="000B2CBE" w:rsidRDefault="000D2636" w:rsidP="000D2636">
      <w:pPr>
        <w:ind w:firstLine="567"/>
        <w:jc w:val="both"/>
        <w:rPr>
          <w:color w:val="000000" w:themeColor="text1"/>
          <w:lang w:val="ro-RO" w:eastAsia="ro-MD"/>
        </w:rPr>
      </w:pPr>
      <w:r w:rsidRPr="000B2CBE">
        <w:rPr>
          <w:color w:val="000000" w:themeColor="text1"/>
          <w:lang w:val="ro-RO" w:eastAsia="ro-MD"/>
        </w:rPr>
        <w:t>2) o pondere de risc de 35%, dacă expunerii cu rang prioritar negarantate față de întreprinderea care furnizează asigurarea de viață i se atribuie o pondere de risc de 50%;</w:t>
      </w:r>
    </w:p>
    <w:p w14:paraId="3C9824DD" w14:textId="7F94AF8C" w:rsidR="000D2636" w:rsidRPr="000B2CBE" w:rsidRDefault="000D2636" w:rsidP="000D2636">
      <w:pPr>
        <w:ind w:firstLine="567"/>
        <w:jc w:val="both"/>
        <w:rPr>
          <w:color w:val="000000" w:themeColor="text1"/>
          <w:lang w:val="ro-RO" w:eastAsia="ro-MD"/>
        </w:rPr>
      </w:pPr>
      <w:r w:rsidRPr="000B2CBE">
        <w:rPr>
          <w:color w:val="000000" w:themeColor="text1"/>
          <w:lang w:val="ro-RO" w:eastAsia="ro-MD"/>
        </w:rPr>
        <w:t>3) o pondere de risc de 52,5%, dacă expunerii cu rang prioritar negarantate față de întreprinderea care furnizează asigurarea de viață i se atribuie o pondere de risc de 75%;</w:t>
      </w:r>
    </w:p>
    <w:p w14:paraId="33CAF81F" w14:textId="33131EE3" w:rsidR="000D2636" w:rsidRPr="000B2CBE" w:rsidRDefault="007227CD" w:rsidP="000D2636">
      <w:pPr>
        <w:ind w:firstLine="567"/>
        <w:jc w:val="both"/>
        <w:rPr>
          <w:color w:val="000000" w:themeColor="text1"/>
          <w:lang w:val="ro-RO" w:eastAsia="ro-MD"/>
        </w:rPr>
      </w:pPr>
      <w:r w:rsidRPr="000B2CBE">
        <w:rPr>
          <w:color w:val="000000" w:themeColor="text1"/>
          <w:lang w:val="ro-RO" w:eastAsia="ro-MD"/>
        </w:rPr>
        <w:t>4</w:t>
      </w:r>
      <w:r w:rsidR="000D2636" w:rsidRPr="000B2CBE">
        <w:rPr>
          <w:color w:val="000000" w:themeColor="text1"/>
          <w:lang w:val="ro-RO" w:eastAsia="ro-MD"/>
        </w:rPr>
        <w:t>) o pondere de risc de 70%, dacă expunerii cu rang prioritar negarantate față de întreprinderea care furnizează asigurarea de viață i se atribuie o pondere de risc de 100%;</w:t>
      </w:r>
    </w:p>
    <w:p w14:paraId="5EDC7578" w14:textId="67A153A7" w:rsidR="000D2636" w:rsidRPr="000B2CBE" w:rsidRDefault="007227CD" w:rsidP="007227CD">
      <w:pPr>
        <w:tabs>
          <w:tab w:val="left" w:pos="567"/>
        </w:tabs>
        <w:ind w:firstLine="567"/>
        <w:jc w:val="both"/>
        <w:rPr>
          <w:color w:val="000000" w:themeColor="text1"/>
          <w:lang w:val="ro-RO"/>
        </w:rPr>
      </w:pPr>
      <w:r w:rsidRPr="000B2CBE">
        <w:rPr>
          <w:color w:val="000000" w:themeColor="text1"/>
          <w:lang w:val="ro-RO" w:eastAsia="ro-MD"/>
        </w:rPr>
        <w:t>5</w:t>
      </w:r>
      <w:r w:rsidR="000D2636" w:rsidRPr="000B2CBE">
        <w:rPr>
          <w:color w:val="000000" w:themeColor="text1"/>
          <w:lang w:val="ro-RO" w:eastAsia="ro-MD"/>
        </w:rPr>
        <w:t>) o pondere de risc de 150%, dacă expunerii cu rang prioritar negarantate față de întreprinderea care furnizează asigurarea de viață i se atribuie o pondere de risc de 150%.</w:t>
      </w:r>
      <w:r w:rsidRPr="000B2CBE">
        <w:rPr>
          <w:color w:val="000000" w:themeColor="text1"/>
          <w:sz w:val="18"/>
          <w:szCs w:val="18"/>
          <w:lang w:val="ro-RO" w:eastAsia="ro-MD"/>
        </w:rPr>
        <w:t>”.</w:t>
      </w:r>
    </w:p>
    <w:p w14:paraId="4FD520F2" w14:textId="77777777" w:rsidR="00A70C68" w:rsidRDefault="000B2CBE" w:rsidP="00F7502D">
      <w:pPr>
        <w:pStyle w:val="ListParagraph"/>
        <w:numPr>
          <w:ilvl w:val="1"/>
          <w:numId w:val="27"/>
        </w:numPr>
        <w:tabs>
          <w:tab w:val="left" w:pos="567"/>
        </w:tabs>
        <w:spacing w:before="80"/>
        <w:ind w:left="0" w:firstLine="567"/>
        <w:contextualSpacing w:val="0"/>
        <w:jc w:val="both"/>
        <w:rPr>
          <w:color w:val="000000" w:themeColor="text1"/>
          <w:lang w:val="ro-RO"/>
        </w:rPr>
      </w:pPr>
      <w:r w:rsidRPr="000B2CBE">
        <w:rPr>
          <w:color w:val="000000" w:themeColor="text1"/>
          <w:lang w:val="ro-RO" w:eastAsia="ro-MD"/>
        </w:rPr>
        <w:t>Capitolul IX</w:t>
      </w:r>
      <w:r w:rsidR="00A70C68">
        <w:rPr>
          <w:color w:val="000000" w:themeColor="text1"/>
          <w:lang w:val="ro-RO" w:eastAsia="ro-MD"/>
        </w:rPr>
        <w:t>:</w:t>
      </w:r>
    </w:p>
    <w:p w14:paraId="1BDD497D" w14:textId="77777777" w:rsidR="00A70C68" w:rsidRDefault="000B2CBE" w:rsidP="00A70C68">
      <w:pPr>
        <w:pStyle w:val="ListParagraph"/>
        <w:numPr>
          <w:ilvl w:val="2"/>
          <w:numId w:val="27"/>
        </w:numPr>
        <w:ind w:left="0" w:firstLine="567"/>
        <w:rPr>
          <w:color w:val="000000" w:themeColor="text1"/>
          <w:lang w:val="ro-RO" w:eastAsia="ro-MD"/>
        </w:rPr>
      </w:pPr>
      <w:r w:rsidRPr="00A70C68">
        <w:rPr>
          <w:color w:val="000000" w:themeColor="text1"/>
          <w:lang w:val="ro-RO" w:eastAsia="ro-MD"/>
        </w:rPr>
        <w:t>se completează cu secțiun</w:t>
      </w:r>
      <w:r w:rsidR="00A70C68" w:rsidRPr="00A70C68">
        <w:rPr>
          <w:color w:val="000000" w:themeColor="text1"/>
          <w:lang w:val="ro-RO" w:eastAsia="ro-MD"/>
        </w:rPr>
        <w:t>ea</w:t>
      </w:r>
      <w:r w:rsidRPr="00A70C68">
        <w:rPr>
          <w:color w:val="000000" w:themeColor="text1"/>
          <w:lang w:val="ro-RO" w:eastAsia="ro-MD"/>
        </w:rPr>
        <w:t xml:space="preserve"> 1</w:t>
      </w:r>
      <w:r w:rsidRPr="00A70C68">
        <w:rPr>
          <w:color w:val="000000" w:themeColor="text1"/>
          <w:vertAlign w:val="superscript"/>
          <w:lang w:val="ro-RO" w:eastAsia="ro-MD"/>
        </w:rPr>
        <w:t>1</w:t>
      </w:r>
      <w:r w:rsidRPr="00A70C68">
        <w:rPr>
          <w:color w:val="000000" w:themeColor="text1"/>
          <w:lang w:val="ro-RO" w:eastAsia="ro-MD"/>
        </w:rPr>
        <w:t xml:space="preserve"> cu următorul cuprins:</w:t>
      </w:r>
      <w:r w:rsidR="00A70C68" w:rsidRPr="00A70C68">
        <w:rPr>
          <w:color w:val="000000" w:themeColor="text1"/>
          <w:lang w:val="ro-RO"/>
        </w:rPr>
        <w:t xml:space="preserve"> </w:t>
      </w:r>
    </w:p>
    <w:p w14:paraId="3E5AFADC" w14:textId="72896464" w:rsidR="00A70C68" w:rsidRPr="00A70C68" w:rsidRDefault="00A70C68" w:rsidP="00A70C68">
      <w:pPr>
        <w:jc w:val="center"/>
        <w:rPr>
          <w:color w:val="000000" w:themeColor="text1"/>
          <w:lang w:val="ro-RO" w:eastAsia="ro-MD"/>
        </w:rPr>
      </w:pPr>
      <w:r w:rsidRPr="00A70C68">
        <w:rPr>
          <w:color w:val="000000" w:themeColor="text1"/>
          <w:lang w:val="ro-RO"/>
        </w:rPr>
        <w:t>„</w:t>
      </w:r>
      <w:r w:rsidRPr="00A70C68">
        <w:rPr>
          <w:b/>
          <w:bCs/>
          <w:i/>
          <w:iCs/>
          <w:color w:val="000000" w:themeColor="text1"/>
          <w:lang w:val="ro-RO" w:eastAsia="ro-MD"/>
        </w:rPr>
        <w:t>Secțiunea 1</w:t>
      </w:r>
      <w:r w:rsidRPr="00A70C68">
        <w:rPr>
          <w:b/>
          <w:bCs/>
          <w:i/>
          <w:iCs/>
          <w:color w:val="000000" w:themeColor="text1"/>
          <w:vertAlign w:val="superscript"/>
          <w:lang w:val="ro-RO" w:eastAsia="ro-MD"/>
        </w:rPr>
        <w:t>1</w:t>
      </w:r>
    </w:p>
    <w:p w14:paraId="4356A94E" w14:textId="77777777" w:rsidR="00A70C68" w:rsidRPr="001D57C7" w:rsidRDefault="00A70C68" w:rsidP="00A70C68">
      <w:pPr>
        <w:jc w:val="center"/>
        <w:rPr>
          <w:b/>
          <w:bCs/>
          <w:i/>
          <w:iCs/>
          <w:color w:val="000000" w:themeColor="text1"/>
          <w:lang w:val="ro-RO" w:eastAsia="ro-MD"/>
        </w:rPr>
      </w:pPr>
      <w:r w:rsidRPr="001D57C7">
        <w:rPr>
          <w:b/>
          <w:bCs/>
          <w:i/>
          <w:iCs/>
          <w:color w:val="000000" w:themeColor="text1"/>
          <w:lang w:val="ro-RO" w:eastAsia="ro-MD"/>
        </w:rPr>
        <w:t>Calculul valorilor ponderate la risc ale expunerilor și al valorilor pierderilor așteptate în cazul protecției parțiale și al segmentării pe tranșe</w:t>
      </w:r>
    </w:p>
    <w:p w14:paraId="0999B3E4" w14:textId="77777777" w:rsidR="00A70C68" w:rsidRPr="001D57C7" w:rsidRDefault="00A70C68" w:rsidP="00A70C68">
      <w:pPr>
        <w:jc w:val="both"/>
        <w:rPr>
          <w:color w:val="000000" w:themeColor="text1"/>
          <w:lang w:val="ro-RO" w:eastAsia="ro-MD"/>
        </w:rPr>
      </w:pPr>
      <w:r w:rsidRPr="001D57C7">
        <w:rPr>
          <w:b/>
          <w:bCs/>
          <w:color w:val="000000" w:themeColor="text1"/>
          <w:lang w:val="ro-RO" w:eastAsia="ro-MD"/>
        </w:rPr>
        <w:t>113</w:t>
      </w:r>
      <w:r w:rsidRPr="001D57C7">
        <w:rPr>
          <w:b/>
          <w:bCs/>
          <w:color w:val="000000" w:themeColor="text1"/>
          <w:vertAlign w:val="superscript"/>
          <w:lang w:val="ro-RO" w:eastAsia="ro-MD"/>
        </w:rPr>
        <w:t>1</w:t>
      </w:r>
      <w:r w:rsidRPr="001D57C7">
        <w:rPr>
          <w:b/>
          <w:bCs/>
          <w:color w:val="000000" w:themeColor="text1"/>
          <w:lang w:val="ro-RO" w:eastAsia="ro-MD"/>
        </w:rPr>
        <w:t>.</w:t>
      </w:r>
      <w:r w:rsidRPr="001D57C7">
        <w:rPr>
          <w:color w:val="000000" w:themeColor="text1"/>
          <w:lang w:val="ro-RO" w:eastAsia="ro-MD"/>
        </w:rPr>
        <w:t xml:space="preserve"> Dacă o bancă transferă în una sau mai multe tranșe o parte din riscul aferent unui credit, se aplică regulile stabilite în Regulamentul nr. 221/2025 privind tratamentul prudențial al securitizărilor. </w:t>
      </w:r>
    </w:p>
    <w:p w14:paraId="6896F57C" w14:textId="664501F1" w:rsidR="00A70C68" w:rsidRDefault="00A70C68" w:rsidP="00A70C68">
      <w:pPr>
        <w:jc w:val="both"/>
        <w:rPr>
          <w:color w:val="000000" w:themeColor="text1"/>
          <w:sz w:val="18"/>
          <w:szCs w:val="18"/>
          <w:lang w:val="ro-RO" w:eastAsia="ro-MD"/>
        </w:rPr>
      </w:pPr>
      <w:r w:rsidRPr="001D57C7">
        <w:rPr>
          <w:b/>
          <w:bCs/>
          <w:color w:val="000000" w:themeColor="text1"/>
          <w:lang w:val="ro-RO" w:eastAsia="ro-MD"/>
        </w:rPr>
        <w:t>113</w:t>
      </w:r>
      <w:r w:rsidRPr="001D57C7">
        <w:rPr>
          <w:b/>
          <w:bCs/>
          <w:color w:val="000000" w:themeColor="text1"/>
          <w:vertAlign w:val="superscript"/>
          <w:lang w:val="ro-RO" w:eastAsia="ro-MD"/>
        </w:rPr>
        <w:t>2</w:t>
      </w:r>
      <w:r w:rsidRPr="001D57C7">
        <w:rPr>
          <w:b/>
          <w:bCs/>
          <w:color w:val="000000" w:themeColor="text1"/>
          <w:lang w:val="ro-RO" w:eastAsia="ro-MD"/>
        </w:rPr>
        <w:t>.</w:t>
      </w:r>
      <w:r w:rsidRPr="001D57C7">
        <w:rPr>
          <w:color w:val="000000" w:themeColor="text1"/>
          <w:lang w:val="ro-RO" w:eastAsia="ro-MD"/>
        </w:rPr>
        <w:t xml:space="preserve"> Băncile pot considera că pragurile de semnificație pentru plăți, sub care nu se fac plăți în cazul producerii pierderilor, sunt echivalente cu poziții păstrate care suportă primele pierderea și dau naștere unui transfer de risc segmentat în tranșe.</w:t>
      </w:r>
      <w:r>
        <w:rPr>
          <w:color w:val="000000" w:themeColor="text1"/>
          <w:lang w:val="ro-RO" w:eastAsia="ro-MD"/>
        </w:rPr>
        <w:t>”.</w:t>
      </w:r>
    </w:p>
    <w:p w14:paraId="2B5B74B7" w14:textId="6D4DB29E" w:rsidR="000D2636" w:rsidRDefault="00A70C68" w:rsidP="00A70C68">
      <w:pPr>
        <w:pStyle w:val="ListParagraph"/>
        <w:numPr>
          <w:ilvl w:val="2"/>
          <w:numId w:val="27"/>
        </w:numPr>
        <w:tabs>
          <w:tab w:val="left" w:pos="567"/>
        </w:tabs>
        <w:spacing w:before="80"/>
        <w:contextualSpacing w:val="0"/>
        <w:jc w:val="both"/>
        <w:rPr>
          <w:color w:val="000000" w:themeColor="text1"/>
          <w:lang w:val="ro-RO"/>
        </w:rPr>
      </w:pPr>
      <w:r>
        <w:rPr>
          <w:color w:val="000000" w:themeColor="text1"/>
          <w:lang w:val="ro-RO"/>
        </w:rPr>
        <w:t>denumirea secțiunii a 2-a va avea următorul cuprins:</w:t>
      </w:r>
    </w:p>
    <w:p w14:paraId="444B348D" w14:textId="77777777" w:rsidR="00A70C68" w:rsidRPr="001D57C7" w:rsidRDefault="00A70C68" w:rsidP="00A70C68">
      <w:pPr>
        <w:jc w:val="center"/>
        <w:rPr>
          <w:color w:val="000000" w:themeColor="text1"/>
          <w:lang w:val="ro-RO" w:eastAsia="ro-MD"/>
        </w:rPr>
      </w:pPr>
      <w:r>
        <w:rPr>
          <w:color w:val="000000" w:themeColor="text1"/>
          <w:lang w:val="ro-RO"/>
        </w:rPr>
        <w:t>„</w:t>
      </w:r>
      <w:r w:rsidRPr="001D57C7">
        <w:rPr>
          <w:b/>
          <w:bCs/>
          <w:i/>
          <w:iCs/>
          <w:color w:val="000000" w:themeColor="text1"/>
          <w:lang w:val="ro-RO" w:eastAsia="ro-MD"/>
        </w:rPr>
        <w:t>Secțiunea a 2-a</w:t>
      </w:r>
    </w:p>
    <w:p w14:paraId="64842CCB" w14:textId="5EAF141A" w:rsidR="00A70C68" w:rsidRPr="00A70C68" w:rsidRDefault="00A70C68" w:rsidP="00A70C68">
      <w:pPr>
        <w:tabs>
          <w:tab w:val="left" w:pos="567"/>
        </w:tabs>
        <w:jc w:val="both"/>
        <w:rPr>
          <w:i/>
          <w:iCs/>
          <w:color w:val="000000" w:themeColor="text1"/>
          <w:lang w:val="ro-RO"/>
        </w:rPr>
      </w:pPr>
      <w:r w:rsidRPr="00A70C68">
        <w:rPr>
          <w:b/>
          <w:bCs/>
          <w:i/>
          <w:iCs/>
          <w:color w:val="000000" w:themeColor="text1"/>
          <w:lang w:val="ro-RO"/>
        </w:rPr>
        <w:t>Calculul valorilor ponderate la risc ale expunerilor în conformitate cu metoda substituției atunci când expunerea garantată este tratată conform abordării standardizate</w:t>
      </w:r>
      <w:r w:rsidRPr="00A70C68">
        <w:rPr>
          <w:i/>
          <w:iCs/>
          <w:color w:val="000000" w:themeColor="text1"/>
          <w:lang w:val="ro-RO"/>
        </w:rPr>
        <w:t>”;</w:t>
      </w:r>
    </w:p>
    <w:p w14:paraId="30F55281" w14:textId="0838673B" w:rsidR="00A70C68" w:rsidRDefault="00A70C68" w:rsidP="00FB709D">
      <w:pPr>
        <w:pStyle w:val="ListParagraph"/>
        <w:numPr>
          <w:ilvl w:val="2"/>
          <w:numId w:val="27"/>
        </w:numPr>
        <w:tabs>
          <w:tab w:val="left" w:pos="567"/>
        </w:tabs>
        <w:spacing w:before="80"/>
        <w:ind w:left="0" w:firstLine="567"/>
        <w:contextualSpacing w:val="0"/>
        <w:jc w:val="both"/>
        <w:rPr>
          <w:color w:val="000000" w:themeColor="text1"/>
          <w:lang w:val="ro-RO"/>
        </w:rPr>
      </w:pPr>
      <w:r>
        <w:rPr>
          <w:color w:val="000000" w:themeColor="text1"/>
          <w:lang w:val="ro-RO"/>
        </w:rPr>
        <w:t>la punctul 114</w:t>
      </w:r>
      <w:r w:rsidR="0027027C">
        <w:rPr>
          <w:color w:val="000000" w:themeColor="text1"/>
          <w:lang w:val="ro-RO"/>
        </w:rPr>
        <w:t xml:space="preserve"> după cuvintele „</w:t>
      </w:r>
      <w:r w:rsidR="0027027C" w:rsidRPr="001D57C7">
        <w:rPr>
          <w:color w:val="000000" w:themeColor="text1"/>
          <w:lang w:val="ro-RO" w:eastAsia="ro-MD"/>
        </w:rPr>
        <w:t>valorile ponderate la risc ale expunerilor</w:t>
      </w:r>
      <w:r w:rsidR="0027027C">
        <w:rPr>
          <w:color w:val="000000" w:themeColor="text1"/>
          <w:lang w:val="ro-RO" w:eastAsia="ro-MD"/>
        </w:rPr>
        <w:t>” se completează cu textul „</w:t>
      </w:r>
      <w:r w:rsidR="0027027C" w:rsidRPr="001D57C7">
        <w:rPr>
          <w:color w:val="000000" w:themeColor="text1"/>
          <w:lang w:val="ro-RO" w:eastAsia="ro-MD"/>
        </w:rPr>
        <w:t>cu protecție nefinanțată a creditului în cazul cărora băncile respective aplică abordarea standardizată, indiferent de tratamentul expunerilor directe comparabile față de furnizorul de protecție,</w:t>
      </w:r>
      <w:r w:rsidR="0027027C">
        <w:rPr>
          <w:color w:val="000000" w:themeColor="text1"/>
          <w:lang w:val="ro-RO" w:eastAsia="ro-MD"/>
        </w:rPr>
        <w:t>”;</w:t>
      </w:r>
    </w:p>
    <w:p w14:paraId="03A7259F" w14:textId="09237D2F" w:rsidR="00A70C68" w:rsidRDefault="00417D44" w:rsidP="00FB709D">
      <w:pPr>
        <w:pStyle w:val="ListParagraph"/>
        <w:numPr>
          <w:ilvl w:val="2"/>
          <w:numId w:val="27"/>
        </w:numPr>
        <w:tabs>
          <w:tab w:val="left" w:pos="567"/>
        </w:tabs>
        <w:spacing w:before="80"/>
        <w:ind w:left="0" w:firstLine="567"/>
        <w:contextualSpacing w:val="0"/>
        <w:jc w:val="both"/>
        <w:rPr>
          <w:color w:val="000000" w:themeColor="text1"/>
          <w:lang w:val="ro-RO"/>
        </w:rPr>
      </w:pPr>
      <w:r>
        <w:rPr>
          <w:color w:val="000000" w:themeColor="text1"/>
          <w:lang w:val="ro-RO"/>
        </w:rPr>
        <w:t xml:space="preserve">la punctul 116 după </w:t>
      </w:r>
      <w:r w:rsidR="006E771B">
        <w:rPr>
          <w:color w:val="000000" w:themeColor="text1"/>
          <w:lang w:val="ro-RO"/>
        </w:rPr>
        <w:t xml:space="preserve">textul </w:t>
      </w:r>
      <w:r>
        <w:rPr>
          <w:color w:val="000000" w:themeColor="text1"/>
          <w:lang w:val="ro-RO"/>
        </w:rPr>
        <w:t>„</w:t>
      </w:r>
      <w:r w:rsidRPr="001D57C7">
        <w:rPr>
          <w:color w:val="000000" w:themeColor="text1"/>
          <w:lang w:val="ro-RO" w:eastAsia="ro-MD"/>
        </w:rPr>
        <w:t>banca centrală</w:t>
      </w:r>
      <w:r w:rsidRPr="0023120D">
        <w:rPr>
          <w:color w:val="000000" w:themeColor="text1"/>
          <w:lang w:val="ro-RO" w:eastAsia="ro-MD"/>
        </w:rPr>
        <w:t>,</w:t>
      </w:r>
      <w:r>
        <w:rPr>
          <w:color w:val="000000" w:themeColor="text1"/>
          <w:lang w:val="ro-RO" w:eastAsia="ro-MD"/>
        </w:rPr>
        <w:t>” se completează cu textul „</w:t>
      </w:r>
      <w:r w:rsidRPr="001D57C7">
        <w:rPr>
          <w:color w:val="000000" w:themeColor="text1"/>
          <w:lang w:val="ro-RO" w:eastAsia="ro-MD"/>
        </w:rPr>
        <w:t>ca și cum expunerile respective ar fi expuneri directe față de administrația centrală sau de banca centrală, cu condiția ca astfel de expuneri directe să îndeplinească condițiile prevăzute la punctele 31-33 din regulamentul menționat și</w:t>
      </w:r>
      <w:r>
        <w:rPr>
          <w:color w:val="000000" w:themeColor="text1"/>
          <w:lang w:val="ro-RO" w:eastAsia="ro-MD"/>
        </w:rPr>
        <w:t>”;</w:t>
      </w:r>
    </w:p>
    <w:p w14:paraId="5ACCD37C" w14:textId="0FA9F96D" w:rsidR="00FB709D" w:rsidRPr="00FB709D" w:rsidRDefault="00FB709D" w:rsidP="00FB709D">
      <w:pPr>
        <w:pStyle w:val="ListParagraph"/>
        <w:numPr>
          <w:ilvl w:val="2"/>
          <w:numId w:val="27"/>
        </w:numPr>
        <w:ind w:left="0" w:firstLine="567"/>
        <w:rPr>
          <w:color w:val="000000" w:themeColor="text1"/>
          <w:lang w:val="ro-RO"/>
        </w:rPr>
      </w:pPr>
      <w:r w:rsidRPr="00FB709D">
        <w:rPr>
          <w:color w:val="000000" w:themeColor="text1"/>
          <w:lang w:val="ro-RO"/>
        </w:rPr>
        <w:t>se completează cu secțiun</w:t>
      </w:r>
      <w:r>
        <w:rPr>
          <w:color w:val="000000" w:themeColor="text1"/>
          <w:lang w:val="ro-RO"/>
        </w:rPr>
        <w:t>ile</w:t>
      </w:r>
      <w:r w:rsidRPr="00FB709D">
        <w:rPr>
          <w:color w:val="000000" w:themeColor="text1"/>
          <w:lang w:val="ro-RO"/>
        </w:rPr>
        <w:t xml:space="preserve"> </w:t>
      </w:r>
      <w:r w:rsidR="0052750B">
        <w:rPr>
          <w:color w:val="000000" w:themeColor="text1"/>
          <w:lang w:val="ro-RO"/>
        </w:rPr>
        <w:t>2</w:t>
      </w:r>
      <w:r w:rsidRPr="0052750B">
        <w:rPr>
          <w:color w:val="000000" w:themeColor="text1"/>
          <w:vertAlign w:val="superscript"/>
          <w:lang w:val="ro-RO"/>
        </w:rPr>
        <w:t>1</w:t>
      </w:r>
      <w:r w:rsidR="0052750B">
        <w:rPr>
          <w:color w:val="000000" w:themeColor="text1"/>
          <w:lang w:val="ro-RO"/>
        </w:rPr>
        <w:t>-2</w:t>
      </w:r>
      <w:r w:rsidR="0052750B" w:rsidRPr="0052750B">
        <w:rPr>
          <w:color w:val="000000" w:themeColor="text1"/>
          <w:vertAlign w:val="superscript"/>
          <w:lang w:val="ro-RO"/>
        </w:rPr>
        <w:t>3</w:t>
      </w:r>
      <w:r w:rsidRPr="00FB709D">
        <w:rPr>
          <w:color w:val="000000" w:themeColor="text1"/>
          <w:lang w:val="ro-RO"/>
        </w:rPr>
        <w:t xml:space="preserve"> cu următorul cuprins: </w:t>
      </w:r>
    </w:p>
    <w:p w14:paraId="396B84B6" w14:textId="77777777" w:rsidR="009A79F2" w:rsidRPr="001D57C7" w:rsidRDefault="009A79F2" w:rsidP="009A79F2">
      <w:pPr>
        <w:jc w:val="center"/>
        <w:rPr>
          <w:color w:val="000000" w:themeColor="text1"/>
          <w:lang w:val="ro-RO" w:eastAsia="ro-MD"/>
        </w:rPr>
      </w:pPr>
      <w:r>
        <w:rPr>
          <w:color w:val="000000" w:themeColor="text1"/>
          <w:lang w:val="ro-RO"/>
        </w:rPr>
        <w:t>„</w:t>
      </w:r>
      <w:r w:rsidRPr="001D57C7">
        <w:rPr>
          <w:b/>
          <w:bCs/>
          <w:i/>
          <w:iCs/>
          <w:color w:val="000000" w:themeColor="text1"/>
          <w:lang w:val="ro-RO" w:eastAsia="ro-MD"/>
        </w:rPr>
        <w:t>Secțiunea a 2</w:t>
      </w:r>
      <w:r w:rsidRPr="001D57C7">
        <w:rPr>
          <w:b/>
          <w:bCs/>
          <w:i/>
          <w:iCs/>
          <w:color w:val="000000" w:themeColor="text1"/>
          <w:vertAlign w:val="superscript"/>
          <w:lang w:val="ro-RO" w:eastAsia="ro-MD"/>
        </w:rPr>
        <w:t>1</w:t>
      </w:r>
      <w:r w:rsidRPr="001D57C7">
        <w:rPr>
          <w:b/>
          <w:bCs/>
          <w:i/>
          <w:iCs/>
          <w:color w:val="000000" w:themeColor="text1"/>
          <w:lang w:val="ro-RO" w:eastAsia="ro-MD"/>
        </w:rPr>
        <w:t>-a</w:t>
      </w:r>
    </w:p>
    <w:p w14:paraId="6CCF10A8" w14:textId="77777777" w:rsidR="009A79F2" w:rsidRPr="001D57C7" w:rsidRDefault="009A79F2" w:rsidP="009A79F2">
      <w:pPr>
        <w:ind w:firstLine="567"/>
        <w:jc w:val="center"/>
        <w:rPr>
          <w:b/>
          <w:bCs/>
          <w:i/>
          <w:iCs/>
          <w:color w:val="000000" w:themeColor="text1"/>
          <w:lang w:val="ro-RO" w:eastAsia="ro-MD"/>
        </w:rPr>
      </w:pPr>
      <w:r w:rsidRPr="001D57C7">
        <w:rPr>
          <w:b/>
          <w:bCs/>
          <w:i/>
          <w:iCs/>
          <w:color w:val="000000" w:themeColor="text1"/>
          <w:lang w:val="ro-RO" w:eastAsia="ro-MD"/>
        </w:rPr>
        <w:t>Calcularea cuantumurilor ponderate la risc ale expunerilor și a cuantumurilor pierderilor așteptate în conformitate cu metoda substituției atunci când expunerea garantată este tratată conform abordării IRB, iar o expunere directă comparabilă față de furnizorul de protecție este tratată conform abordării standardizate</w:t>
      </w:r>
    </w:p>
    <w:p w14:paraId="5ED7E632" w14:textId="77777777" w:rsidR="009A79F2" w:rsidRPr="001D57C7" w:rsidRDefault="009A79F2" w:rsidP="00DA7A66">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1</w:t>
      </w:r>
      <w:r w:rsidRPr="001D57C7">
        <w:rPr>
          <w:b/>
          <w:bCs/>
          <w:color w:val="000000" w:themeColor="text1"/>
          <w:lang w:val="ro-RO" w:eastAsia="ro-MD"/>
        </w:rPr>
        <w:t>.</w:t>
      </w:r>
      <w:r w:rsidRPr="001D57C7">
        <w:rPr>
          <w:color w:val="000000" w:themeColor="text1"/>
          <w:lang w:val="ro-RO" w:eastAsia="ro-MD"/>
        </w:rPr>
        <w:t xml:space="preserve"> În cazul expunerilor cu protecție nefinanțată a creditului pentru care o bancă aplică abordarea IRB și în cazul în care expunerile directe comparabile față de furnizorul de protecție sunt tratate conform abordării standardizate, băncile calculează valorile ponderate la risc ale expunerilor în conformitate cu următoarea formulă:</w:t>
      </w:r>
    </w:p>
    <w:p w14:paraId="1BA6FE35" w14:textId="77777777" w:rsidR="009A79F2" w:rsidRPr="001D57C7" w:rsidRDefault="009A79F2" w:rsidP="009A79F2">
      <w:pPr>
        <w:ind w:firstLine="567"/>
        <w:jc w:val="center"/>
        <w:rPr>
          <w:color w:val="000000" w:themeColor="text1"/>
          <w:lang w:val="ro-RO" w:eastAsia="ro-MD"/>
        </w:rPr>
      </w:pPr>
      <w:proofErr w:type="spellStart"/>
      <w:r w:rsidRPr="001D57C7">
        <w:rPr>
          <w:color w:val="000000" w:themeColor="text1"/>
          <w:lang w:val="ro-RO" w:eastAsia="ro-MD"/>
        </w:rPr>
        <w:t>max</w:t>
      </w:r>
      <w:proofErr w:type="spellEnd"/>
      <w:r w:rsidRPr="001D57C7">
        <w:rPr>
          <w:color w:val="000000" w:themeColor="text1"/>
          <w:lang w:val="ro-RO" w:eastAsia="ro-MD"/>
        </w:rPr>
        <w:t>{0, E – G</w:t>
      </w:r>
      <w:r w:rsidRPr="001D57C7">
        <w:rPr>
          <w:color w:val="000000" w:themeColor="text1"/>
          <w:vertAlign w:val="subscript"/>
          <w:lang w:val="ro-RO" w:eastAsia="ro-MD"/>
        </w:rPr>
        <w:t>A</w:t>
      </w:r>
      <w:r w:rsidRPr="001D57C7">
        <w:rPr>
          <w:color w:val="000000" w:themeColor="text1"/>
          <w:lang w:val="ro-RO" w:eastAsia="ro-MD"/>
        </w:rPr>
        <w:t>} · r + G</w:t>
      </w:r>
      <w:r w:rsidRPr="001D57C7">
        <w:rPr>
          <w:color w:val="000000" w:themeColor="text1"/>
          <w:vertAlign w:val="subscript"/>
          <w:lang w:val="ro-RO" w:eastAsia="ro-MD"/>
        </w:rPr>
        <w:t>A</w:t>
      </w:r>
      <w:r w:rsidRPr="001D57C7">
        <w:rPr>
          <w:color w:val="000000" w:themeColor="text1"/>
          <w:lang w:val="ro-RO" w:eastAsia="ro-MD"/>
        </w:rPr>
        <w:t xml:space="preserve"> · g</w:t>
      </w:r>
    </w:p>
    <w:p w14:paraId="7072FC43" w14:textId="77777777" w:rsidR="009A79F2" w:rsidRPr="001D57C7" w:rsidRDefault="009A79F2" w:rsidP="009A79F2">
      <w:pPr>
        <w:ind w:firstLine="567"/>
        <w:jc w:val="both"/>
        <w:rPr>
          <w:color w:val="000000" w:themeColor="text1"/>
          <w:lang w:val="ro-RO" w:eastAsia="ro-MD"/>
        </w:rPr>
      </w:pPr>
      <w:r w:rsidRPr="001D57C7">
        <w:rPr>
          <w:color w:val="000000" w:themeColor="text1"/>
          <w:lang w:val="ro-RO" w:eastAsia="ro-MD"/>
        </w:rPr>
        <w:t>unde:</w:t>
      </w:r>
    </w:p>
    <w:p w14:paraId="06447B59" w14:textId="5E106A8A" w:rsidR="009A79F2" w:rsidRPr="001D57C7" w:rsidRDefault="009A79F2" w:rsidP="009A79F2">
      <w:pPr>
        <w:ind w:firstLine="567"/>
        <w:jc w:val="both"/>
        <w:rPr>
          <w:color w:val="000000" w:themeColor="text1"/>
          <w:lang w:val="ro-RO" w:eastAsia="ro-MD"/>
        </w:rPr>
      </w:pPr>
      <w:r w:rsidRPr="001D57C7">
        <w:rPr>
          <w:color w:val="000000" w:themeColor="text1"/>
          <w:lang w:val="ro-RO" w:eastAsia="ro-MD"/>
        </w:rPr>
        <w:lastRenderedPageBreak/>
        <w:t xml:space="preserve">E = valoarea expunerii determinată în conformitate cu actul normativ al Băncii Naționale a Moldovei aferent tratamentului riscului de credit pentru bănci potrivit abordării bazate pe modele interne de rating; în acest scop, băncile calculează valoarea expunerii pentru elementele </w:t>
      </w:r>
      <w:proofErr w:type="spellStart"/>
      <w:r w:rsidRPr="001D57C7">
        <w:rPr>
          <w:color w:val="000000" w:themeColor="text1"/>
          <w:lang w:val="ro-RO" w:eastAsia="ro-MD"/>
        </w:rPr>
        <w:t>extrabilanțiere</w:t>
      </w:r>
      <w:proofErr w:type="spellEnd"/>
      <w:r w:rsidRPr="001D57C7">
        <w:rPr>
          <w:color w:val="000000" w:themeColor="text1"/>
          <w:lang w:val="ro-RO" w:eastAsia="ro-MD"/>
        </w:rPr>
        <w:t>, altele decât instrumentele financiare derivate tratate conform abordării IRB, utilizând un CCF de 100 % în locul CCF pe baza abordării standardizate sau al CCF pe baza IRB prevăzuți în actul normativ al Băncii Naționale a Moldovei aferent tratamentului riscului de credit pentru bănci potrivit abordării bazate pe modele interne de rating;</w:t>
      </w:r>
    </w:p>
    <w:p w14:paraId="0C3CB31E" w14:textId="77777777" w:rsidR="009A79F2" w:rsidRPr="001D57C7" w:rsidRDefault="009A79F2" w:rsidP="009A79F2">
      <w:pPr>
        <w:ind w:firstLine="567"/>
        <w:jc w:val="both"/>
        <w:rPr>
          <w:color w:val="000000" w:themeColor="text1"/>
          <w:lang w:val="ro-RO" w:eastAsia="ro-MD"/>
        </w:rPr>
      </w:pPr>
      <w:r w:rsidRPr="001D57C7">
        <w:rPr>
          <w:color w:val="000000" w:themeColor="text1"/>
          <w:lang w:val="ro-RO" w:eastAsia="ro-MD"/>
        </w:rPr>
        <w:t>G</w:t>
      </w:r>
      <w:r w:rsidRPr="001D57C7">
        <w:rPr>
          <w:color w:val="000000" w:themeColor="text1"/>
          <w:vertAlign w:val="subscript"/>
          <w:lang w:val="ro-RO" w:eastAsia="ro-MD"/>
        </w:rPr>
        <w:t>A</w:t>
      </w:r>
      <w:r w:rsidRPr="001D57C7">
        <w:rPr>
          <w:color w:val="000000" w:themeColor="text1"/>
          <w:lang w:val="ro-RO" w:eastAsia="ro-MD"/>
        </w:rPr>
        <w:t xml:space="preserve"> = cuantumul protecției creditului ajustat în funcție de riscul valutar (G*) calculat în conformitate cu punctul 112 și ajustat suplimentar pentru orice neconcordanță de scadențe, astfel cum se prevede în titlul V;</w:t>
      </w:r>
    </w:p>
    <w:p w14:paraId="0FB038B4" w14:textId="77777777" w:rsidR="009A79F2" w:rsidRPr="001D57C7" w:rsidRDefault="009A79F2" w:rsidP="009A79F2">
      <w:pPr>
        <w:ind w:firstLine="567"/>
        <w:jc w:val="both"/>
        <w:rPr>
          <w:color w:val="000000" w:themeColor="text1"/>
          <w:lang w:val="ro-RO" w:eastAsia="ro-MD"/>
        </w:rPr>
      </w:pPr>
      <w:r w:rsidRPr="001D57C7">
        <w:rPr>
          <w:color w:val="000000" w:themeColor="text1"/>
          <w:lang w:val="ro-RO" w:eastAsia="ro-MD"/>
        </w:rPr>
        <w:t>r = ponderea de risc aferentă expunerilor față de debitor, specificată în actul normativ al Băncii Naționale a Moldovei aferent tratamentului riscului de credit pentru bănci potrivit abordării bazate pe modele interne de rating;</w:t>
      </w:r>
    </w:p>
    <w:p w14:paraId="767C0AB5" w14:textId="781D6BDA" w:rsidR="009A79F2" w:rsidRPr="001D57C7" w:rsidRDefault="009A79F2" w:rsidP="009A79F2">
      <w:pPr>
        <w:ind w:firstLine="567"/>
        <w:jc w:val="both"/>
        <w:rPr>
          <w:color w:val="000000" w:themeColor="text1"/>
          <w:lang w:val="ro-RO" w:eastAsia="ro-MD"/>
        </w:rPr>
      </w:pPr>
      <w:r w:rsidRPr="001D57C7">
        <w:rPr>
          <w:color w:val="000000" w:themeColor="text1"/>
          <w:lang w:val="ro-RO" w:eastAsia="ro-MD"/>
        </w:rPr>
        <w:t>g = ponderea de risc aplicabilă unei expuneri directe față de furnizorul de protecție, specificată în Regulamentul nr.111/2018.</w:t>
      </w:r>
    </w:p>
    <w:p w14:paraId="7DE288A6" w14:textId="1CF93B6C"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2</w:t>
      </w:r>
      <w:r w:rsidRPr="001D57C7">
        <w:rPr>
          <w:b/>
          <w:bCs/>
          <w:color w:val="000000" w:themeColor="text1"/>
          <w:lang w:val="ro-RO" w:eastAsia="ro-MD"/>
        </w:rPr>
        <w:t>.</w:t>
      </w:r>
      <w:r w:rsidRPr="001D57C7">
        <w:rPr>
          <w:color w:val="000000" w:themeColor="text1"/>
          <w:lang w:val="ro-RO" w:eastAsia="ro-MD"/>
        </w:rPr>
        <w:t xml:space="preserve"> În cazul în care cuantumul protecției creditului (G</w:t>
      </w:r>
      <w:r w:rsidRPr="001D57C7">
        <w:rPr>
          <w:color w:val="000000" w:themeColor="text1"/>
          <w:vertAlign w:val="subscript"/>
          <w:lang w:val="ro-RO" w:eastAsia="ro-MD"/>
        </w:rPr>
        <w:t>A</w:t>
      </w:r>
      <w:r w:rsidRPr="001D57C7">
        <w:rPr>
          <w:color w:val="000000" w:themeColor="text1"/>
          <w:lang w:val="ro-RO" w:eastAsia="ro-MD"/>
        </w:rPr>
        <w:t>) este mai mic decât valoarea expunerii (E), băncile pot aplica formula de la punctul 116</w:t>
      </w:r>
      <w:r w:rsidRPr="001D57C7">
        <w:rPr>
          <w:color w:val="000000" w:themeColor="text1"/>
          <w:vertAlign w:val="superscript"/>
          <w:lang w:val="ro-RO" w:eastAsia="ro-MD"/>
        </w:rPr>
        <w:t>1</w:t>
      </w:r>
      <w:r w:rsidRPr="001D57C7">
        <w:rPr>
          <w:color w:val="000000" w:themeColor="text1"/>
          <w:lang w:val="ro-RO" w:eastAsia="ro-MD"/>
        </w:rPr>
        <w:t xml:space="preserve"> numai dacă părțile protejate și cele neprotejate ale expunerii au același rang.</w:t>
      </w:r>
    </w:p>
    <w:p w14:paraId="76A133C0" w14:textId="5A89EF60"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3</w:t>
      </w:r>
      <w:r w:rsidRPr="001D57C7">
        <w:rPr>
          <w:b/>
          <w:bCs/>
          <w:color w:val="000000" w:themeColor="text1"/>
          <w:lang w:val="ro-RO" w:eastAsia="ro-MD"/>
        </w:rPr>
        <w:t>.</w:t>
      </w:r>
      <w:r w:rsidRPr="001D57C7">
        <w:rPr>
          <w:color w:val="000000" w:themeColor="text1"/>
          <w:lang w:val="ro-RO" w:eastAsia="ro-MD"/>
        </w:rPr>
        <w:t xml:space="preserve"> Băncile pot extinde tratamentul preferențial prevăzut în Regulamentul nr.111/2018 la expunerile sau la părțile din expuneri garantate de administrația centrală sau de banca centrală, ca și cum expunerile respective ar fi expuneri directe față de administrația centrală sau de banca centrală, cu condiția ca astfel de expuneri directe să îndeplinească condițiile prevăzute la punctele 31-33 din regulamentul menționat.</w:t>
      </w:r>
    </w:p>
    <w:p w14:paraId="214B38E0" w14:textId="101130A7"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4</w:t>
      </w:r>
      <w:r w:rsidRPr="001D57C7">
        <w:rPr>
          <w:b/>
          <w:bCs/>
          <w:color w:val="000000" w:themeColor="text1"/>
          <w:lang w:val="ro-RO" w:eastAsia="ro-MD"/>
        </w:rPr>
        <w:t>.</w:t>
      </w:r>
      <w:r w:rsidRPr="001D57C7">
        <w:rPr>
          <w:color w:val="000000" w:themeColor="text1"/>
          <w:lang w:val="ro-RO" w:eastAsia="ro-MD"/>
        </w:rPr>
        <w:t xml:space="preserve"> Valoarea pierderii așteptate pentru partea garantată a valorii expunerii este zero.</w:t>
      </w:r>
    </w:p>
    <w:p w14:paraId="5DD1A10C" w14:textId="3FB383F2" w:rsidR="009A79F2" w:rsidRPr="001D57C7" w:rsidRDefault="009A79F2" w:rsidP="00A22BC1">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5</w:t>
      </w:r>
      <w:r w:rsidRPr="001D57C7">
        <w:rPr>
          <w:b/>
          <w:bCs/>
          <w:color w:val="000000" w:themeColor="text1"/>
          <w:lang w:val="ro-RO" w:eastAsia="ro-MD"/>
        </w:rPr>
        <w:t>.</w:t>
      </w:r>
      <w:r w:rsidRPr="001D57C7">
        <w:rPr>
          <w:color w:val="000000" w:themeColor="text1"/>
          <w:lang w:val="ro-RO" w:eastAsia="ro-MD"/>
        </w:rPr>
        <w:t xml:space="preserve"> Pentru orice parte negarantată a valorii expunerii (E), băncile utilizează ponderea de risc și pierderea așteptată corespunzătoare expunerii-suport. Pentru calculul prevăzut în actul normativ al Băncii Naționale a Moldovei aferent tratamentului riscului de credit pentru bănci potrivit abordării bazate pe modele interne de </w:t>
      </w:r>
      <w:proofErr w:type="spellStart"/>
      <w:r w:rsidRPr="001D57C7">
        <w:rPr>
          <w:color w:val="000000" w:themeColor="text1"/>
          <w:lang w:val="ro-RO" w:eastAsia="ro-MD"/>
        </w:rPr>
        <w:t>ratinga</w:t>
      </w:r>
      <w:proofErr w:type="spellEnd"/>
      <w:r w:rsidRPr="001D57C7">
        <w:rPr>
          <w:color w:val="000000" w:themeColor="text1"/>
          <w:lang w:val="ro-RO" w:eastAsia="ro-MD"/>
        </w:rPr>
        <w:t xml:space="preserve">, băncile atribuie părții negarantate a valorii expunerii orice ajustare generală sau specifică pentru riscul de credit sau orice ajustare de valoare suplimentară în conformitate cu Regulamentul </w:t>
      </w:r>
      <w:r w:rsidR="00EC5486" w:rsidRPr="00A22BC1">
        <w:rPr>
          <w:color w:val="000000" w:themeColor="text1"/>
          <w:lang w:val="ro-RO" w:eastAsia="ro-MD"/>
        </w:rPr>
        <w:t>cu privire la fondurile proprii ale băncilor</w:t>
      </w:r>
      <w:r w:rsidR="00EC5486">
        <w:rPr>
          <w:color w:val="000000" w:themeColor="text1"/>
          <w:lang w:val="ro-RO" w:eastAsia="ro-MD"/>
        </w:rPr>
        <w:t xml:space="preserve"> </w:t>
      </w:r>
      <w:r w:rsidR="00EC5486" w:rsidRPr="00A22BC1">
        <w:rPr>
          <w:color w:val="000000" w:themeColor="text1"/>
          <w:lang w:val="ro-RO" w:eastAsia="ro-MD"/>
        </w:rPr>
        <w:t>și cerințele de capital</w:t>
      </w:r>
      <w:r w:rsidR="00EC5486">
        <w:rPr>
          <w:color w:val="000000" w:themeColor="text1"/>
          <w:lang w:val="ro-RO" w:eastAsia="ro-MD"/>
        </w:rPr>
        <w:t>, aprobat prin Hotărârea Comitetului executiv al Băncii Naționale a Moldovei nr.</w:t>
      </w:r>
      <w:r w:rsidRPr="001D57C7">
        <w:rPr>
          <w:color w:val="000000" w:themeColor="text1"/>
          <w:lang w:val="ro-RO" w:eastAsia="ro-MD"/>
        </w:rPr>
        <w:t>109/2018</w:t>
      </w:r>
      <w:r w:rsidR="00A22BC1">
        <w:rPr>
          <w:color w:val="000000" w:themeColor="text1"/>
          <w:lang w:val="ro-RO" w:eastAsia="ro-MD"/>
        </w:rPr>
        <w:t xml:space="preserve"> (în continuare – Regulamentul 109/2018)</w:t>
      </w:r>
      <w:r w:rsidRPr="001D57C7">
        <w:rPr>
          <w:color w:val="000000" w:themeColor="text1"/>
          <w:lang w:val="ro-RO" w:eastAsia="ro-MD"/>
        </w:rPr>
        <w:t xml:space="preserve"> legată de activitățile din afara portofoliului de tranzacționare ale băncii sau orice altă reducere a fondurilor proprii legată de expunere, alta decât deducerile privind cuantumul aplicabil al acoperirii insuficiente pentru expunerile neperformante efectuate în conformitate cu Regulamentul nr.109/2018.</w:t>
      </w:r>
    </w:p>
    <w:p w14:paraId="4E1C21A0" w14:textId="77777777" w:rsidR="009A79F2" w:rsidRPr="001D57C7" w:rsidRDefault="009A79F2" w:rsidP="009A79F2">
      <w:pPr>
        <w:ind w:firstLine="567"/>
        <w:jc w:val="both"/>
        <w:rPr>
          <w:color w:val="000000" w:themeColor="text1"/>
          <w:lang w:val="ro-RO" w:eastAsia="ro-MD"/>
        </w:rPr>
      </w:pPr>
    </w:p>
    <w:p w14:paraId="2842CFEB" w14:textId="77777777" w:rsidR="009A79F2" w:rsidRPr="001D57C7" w:rsidRDefault="009A79F2" w:rsidP="009A79F2">
      <w:pPr>
        <w:jc w:val="center"/>
        <w:rPr>
          <w:color w:val="000000" w:themeColor="text1"/>
          <w:lang w:val="ro-RO" w:eastAsia="ro-MD"/>
        </w:rPr>
      </w:pPr>
      <w:r w:rsidRPr="001D57C7">
        <w:rPr>
          <w:b/>
          <w:bCs/>
          <w:i/>
          <w:iCs/>
          <w:color w:val="000000" w:themeColor="text1"/>
          <w:lang w:val="ro-RO" w:eastAsia="ro-MD"/>
        </w:rPr>
        <w:t>Secțiunea a 2</w:t>
      </w:r>
      <w:r w:rsidRPr="001D57C7">
        <w:rPr>
          <w:b/>
          <w:bCs/>
          <w:i/>
          <w:iCs/>
          <w:color w:val="000000" w:themeColor="text1"/>
          <w:vertAlign w:val="superscript"/>
          <w:lang w:val="ro-RO" w:eastAsia="ro-MD"/>
        </w:rPr>
        <w:t>2</w:t>
      </w:r>
      <w:r w:rsidRPr="001D57C7">
        <w:rPr>
          <w:b/>
          <w:bCs/>
          <w:i/>
          <w:iCs/>
          <w:color w:val="000000" w:themeColor="text1"/>
          <w:lang w:val="ro-RO" w:eastAsia="ro-MD"/>
        </w:rPr>
        <w:t>-a</w:t>
      </w:r>
    </w:p>
    <w:p w14:paraId="262F2737" w14:textId="77777777" w:rsidR="009A79F2" w:rsidRPr="001D57C7" w:rsidRDefault="009A79F2" w:rsidP="009A79F2">
      <w:pPr>
        <w:ind w:firstLine="567"/>
        <w:jc w:val="both"/>
        <w:rPr>
          <w:b/>
          <w:bCs/>
          <w:i/>
          <w:iCs/>
          <w:color w:val="000000" w:themeColor="text1"/>
          <w:lang w:val="ro-RO" w:eastAsia="ro-MD"/>
        </w:rPr>
      </w:pPr>
      <w:r w:rsidRPr="001D57C7">
        <w:rPr>
          <w:b/>
          <w:bCs/>
          <w:i/>
          <w:iCs/>
          <w:color w:val="000000" w:themeColor="text1"/>
          <w:lang w:val="ro-RO" w:eastAsia="ro-MD"/>
        </w:rPr>
        <w:t>Calculul valorilor ponderate la risc ale expunerilor și al cuantumurilor pierderilor așteptate în conformitate cu metoda substituției atunci când expunerea garantată este tratată conform abordării IRB fără utilizarea estimărilor proprii ale LGD, iar expunerea directă comparabilă față de furnizorul de protecție este tratată conform abordării IRB</w:t>
      </w:r>
    </w:p>
    <w:p w14:paraId="7A002F56" w14:textId="77777777" w:rsidR="009A79F2" w:rsidRPr="001D57C7" w:rsidRDefault="009A79F2" w:rsidP="009A79F2">
      <w:pPr>
        <w:ind w:firstLine="567"/>
        <w:jc w:val="both"/>
        <w:rPr>
          <w:color w:val="000000" w:themeColor="text1"/>
          <w:lang w:val="ro-RO" w:eastAsia="ro-MD"/>
        </w:rPr>
      </w:pPr>
    </w:p>
    <w:p w14:paraId="7424E595" w14:textId="6927CE70"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6</w:t>
      </w:r>
      <w:r w:rsidRPr="001D57C7">
        <w:rPr>
          <w:b/>
          <w:bCs/>
          <w:color w:val="000000" w:themeColor="text1"/>
          <w:lang w:val="ro-RO" w:eastAsia="ro-MD"/>
        </w:rPr>
        <w:t>.</w:t>
      </w:r>
      <w:r w:rsidRPr="001D57C7">
        <w:rPr>
          <w:color w:val="000000" w:themeColor="text1"/>
          <w:lang w:val="ro-RO" w:eastAsia="ro-MD"/>
        </w:rPr>
        <w:t xml:space="preserve"> În cazul unei expuneri cu protecție nefinanțată a creditului pentru care o bancă aplică abordarea IRB, fără a utiliza însă propriile estimări ale LGD, și în cazul în care expunerile directe comparabile față de furnizorul de protecție sunt tratate în conformitate cu abordarea IRB prevăzută în actul normativ al Băncii Naționale a Moldovei aferent tratamentului riscului de credit pentru bănci potrivit abordării bazate pe modele interne de rating, banca determină partea garantată a expunerii ca fiind cea mai mică dintre valoarea expunerii (E) și valoarea ajustată a protecției nefinanțate a creditului (G</w:t>
      </w:r>
      <w:r w:rsidRPr="001D57C7">
        <w:rPr>
          <w:color w:val="000000" w:themeColor="text1"/>
          <w:vertAlign w:val="subscript"/>
          <w:lang w:val="ro-RO" w:eastAsia="ro-MD"/>
        </w:rPr>
        <w:t>A</w:t>
      </w:r>
      <w:r w:rsidRPr="001D57C7">
        <w:rPr>
          <w:color w:val="000000" w:themeColor="text1"/>
          <w:lang w:val="ro-RO" w:eastAsia="ro-MD"/>
        </w:rPr>
        <w:t>).</w:t>
      </w:r>
    </w:p>
    <w:p w14:paraId="46888256" w14:textId="5A476839" w:rsidR="009A79F2" w:rsidRPr="00D87955" w:rsidRDefault="009A79F2" w:rsidP="009A79F2">
      <w:pPr>
        <w:jc w:val="both"/>
        <w:rPr>
          <w:color w:val="000000" w:themeColor="text1"/>
          <w:lang w:val="ro-RO"/>
        </w:rPr>
      </w:pPr>
      <w:r w:rsidRPr="001D57C7">
        <w:rPr>
          <w:b/>
          <w:bCs/>
          <w:color w:val="000000" w:themeColor="text1"/>
          <w:lang w:val="ro-RO" w:eastAsia="ro-MD"/>
        </w:rPr>
        <w:lastRenderedPageBreak/>
        <w:t>116</w:t>
      </w:r>
      <w:r w:rsidRPr="001D57C7">
        <w:rPr>
          <w:b/>
          <w:bCs/>
          <w:color w:val="000000" w:themeColor="text1"/>
          <w:vertAlign w:val="superscript"/>
          <w:lang w:val="ro-RO" w:eastAsia="ro-MD"/>
        </w:rPr>
        <w:t>7</w:t>
      </w:r>
      <w:r w:rsidRPr="001D57C7">
        <w:rPr>
          <w:b/>
          <w:bCs/>
          <w:color w:val="000000" w:themeColor="text1"/>
          <w:lang w:val="ro-RO" w:eastAsia="ro-MD"/>
        </w:rPr>
        <w:t>.</w:t>
      </w:r>
      <w:r w:rsidRPr="001D57C7">
        <w:rPr>
          <w:color w:val="000000" w:themeColor="text1"/>
          <w:lang w:val="ro-RO" w:eastAsia="ro-MD"/>
        </w:rPr>
        <w:t xml:space="preserve"> Băncile care aplică abordarea IRB expunerilor directe comparabile față de furnizorul de protecție utilizând propriile estimări ale PD calculează cuantumul ponderat la risc al expunerii și cuantumul pierderii așteptate pentru partea garantată a valorii expunerii utilizând PD a furnizorului de protecție și LGD aplicabilă pentru o expunere directă comparabilă față de furnizorul de protecție, </w:t>
      </w:r>
      <w:r w:rsidRPr="00D87955">
        <w:rPr>
          <w:color w:val="000000" w:themeColor="text1"/>
          <w:lang w:val="ro-RO" w:eastAsia="ro-MD"/>
        </w:rPr>
        <w:t xml:space="preserve">astfel cum se menționează în </w:t>
      </w:r>
      <w:r w:rsidRPr="00D87955">
        <w:rPr>
          <w:color w:val="000000" w:themeColor="text1"/>
          <w:lang w:val="ro-RO"/>
        </w:rPr>
        <w:t>actul normativ al Băncii Naționale a Moldovei aferent tratamentului riscului de credit pentru bănci potrivit abordării bazate pe modele interne de rating</w:t>
      </w:r>
      <w:r w:rsidRPr="00D87955">
        <w:rPr>
          <w:color w:val="000000" w:themeColor="text1"/>
          <w:lang w:val="ro-RO" w:eastAsia="ro-MD"/>
        </w:rPr>
        <w:t>, în conformitate cu punctul 116</w:t>
      </w:r>
      <w:r w:rsidRPr="00D87955">
        <w:rPr>
          <w:color w:val="000000" w:themeColor="text1"/>
          <w:vertAlign w:val="superscript"/>
          <w:lang w:val="ro-RO" w:eastAsia="ro-MD"/>
        </w:rPr>
        <w:t>8</w:t>
      </w:r>
      <w:r w:rsidRPr="00D87955">
        <w:rPr>
          <w:color w:val="000000" w:themeColor="text1"/>
          <w:lang w:val="ro-RO" w:eastAsia="ro-MD"/>
        </w:rPr>
        <w:t xml:space="preserve">. Pentru expunerile subordonate și protecția nefinanțată a creditului nesubordonată, LGD care trebuie aplicată de către </w:t>
      </w:r>
      <w:r w:rsidR="006319A3">
        <w:rPr>
          <w:color w:val="000000" w:themeColor="text1"/>
          <w:lang w:val="ro-RO" w:eastAsia="ro-MD"/>
        </w:rPr>
        <w:t>bănci</w:t>
      </w:r>
      <w:r w:rsidRPr="00D87955">
        <w:rPr>
          <w:color w:val="000000" w:themeColor="text1"/>
          <w:lang w:val="ro-RO" w:eastAsia="ro-MD"/>
        </w:rPr>
        <w:t xml:space="preserve"> părții garantate a valorii expunerii este LGD asociată creanțelor cu rang prioritar, iar </w:t>
      </w:r>
      <w:r w:rsidR="006319A3">
        <w:rPr>
          <w:color w:val="000000" w:themeColor="text1"/>
          <w:lang w:val="ro-RO" w:eastAsia="ro-MD"/>
        </w:rPr>
        <w:t>băncile</w:t>
      </w:r>
      <w:r w:rsidRPr="00D87955">
        <w:rPr>
          <w:color w:val="000000" w:themeColor="text1"/>
          <w:lang w:val="ro-RO" w:eastAsia="ro-MD"/>
        </w:rPr>
        <w:t xml:space="preserve"> pot ține seama de orice protecție finanțată a creditului care garantează protecția nefinanțată a creditului în conformitate cu prezentul capitol.</w:t>
      </w:r>
    </w:p>
    <w:p w14:paraId="7DFCE4CC" w14:textId="0B25D9E1" w:rsidR="009A79F2" w:rsidRPr="00D87955" w:rsidRDefault="009A79F2" w:rsidP="00D87955">
      <w:pPr>
        <w:jc w:val="both"/>
        <w:rPr>
          <w:color w:val="000000" w:themeColor="text1"/>
          <w:lang w:val="ro-RO" w:eastAsia="ro-MD"/>
        </w:rPr>
      </w:pPr>
      <w:r w:rsidRPr="00D87955">
        <w:rPr>
          <w:b/>
          <w:bCs/>
          <w:color w:val="000000" w:themeColor="text1"/>
          <w:lang w:val="ro-RO" w:eastAsia="ro-MD"/>
        </w:rPr>
        <w:t>116</w:t>
      </w:r>
      <w:r w:rsidRPr="00D87955">
        <w:rPr>
          <w:b/>
          <w:bCs/>
          <w:color w:val="000000" w:themeColor="text1"/>
          <w:vertAlign w:val="superscript"/>
          <w:lang w:val="ro-RO" w:eastAsia="ro-MD"/>
        </w:rPr>
        <w:t>8</w:t>
      </w:r>
      <w:r w:rsidRPr="00D87955">
        <w:rPr>
          <w:b/>
          <w:bCs/>
          <w:color w:val="000000" w:themeColor="text1"/>
          <w:lang w:val="ro-RO" w:eastAsia="ro-MD"/>
        </w:rPr>
        <w:t>.</w:t>
      </w:r>
      <w:r w:rsidRPr="00D87955">
        <w:rPr>
          <w:color w:val="000000" w:themeColor="text1"/>
          <w:lang w:val="ro-RO" w:eastAsia="ro-MD"/>
        </w:rPr>
        <w:t xml:space="preserve"> Băncile calculează ponderea de risc și pierderea așteptată aplicabile părții garantate a expunerii-suport utilizând PD, LGD specificată la punctul 116</w:t>
      </w:r>
      <w:r w:rsidRPr="00D87955">
        <w:rPr>
          <w:color w:val="000000" w:themeColor="text1"/>
          <w:vertAlign w:val="superscript"/>
          <w:lang w:val="ro-RO" w:eastAsia="ro-MD"/>
        </w:rPr>
        <w:t>7</w:t>
      </w:r>
      <w:r w:rsidRPr="00D87955">
        <w:rPr>
          <w:color w:val="000000" w:themeColor="text1"/>
          <w:lang w:val="ro-RO" w:eastAsia="ro-MD"/>
        </w:rPr>
        <w:t xml:space="preserve"> și aceeași funcție de ponderare a riscului ca cele utilizate pentru o expunere directă comparabilă față de furnizorul de protecție și, dacă este cazul, utilizează scadența (M) aferentă expunerii-suport, calculată în conformitate cu actul normativ al Băncii Naționale a Moldovei aferent tratamentului riscului de credit pentru bănci potrivit abordării bazate pe modele interne de rating.</w:t>
      </w:r>
    </w:p>
    <w:p w14:paraId="69E251DB" w14:textId="35BF9891" w:rsidR="009A79F2" w:rsidRPr="00D87955" w:rsidRDefault="009A79F2" w:rsidP="00D87955">
      <w:pPr>
        <w:jc w:val="both"/>
        <w:rPr>
          <w:color w:val="000000" w:themeColor="text1"/>
          <w:lang w:val="ro-RO" w:eastAsia="ro-MD"/>
        </w:rPr>
      </w:pPr>
      <w:r w:rsidRPr="00D87955">
        <w:rPr>
          <w:b/>
          <w:bCs/>
          <w:color w:val="000000" w:themeColor="text1"/>
          <w:lang w:val="ro-RO" w:eastAsia="ro-MD"/>
        </w:rPr>
        <w:t>116</w:t>
      </w:r>
      <w:r w:rsidRPr="00D87955">
        <w:rPr>
          <w:b/>
          <w:bCs/>
          <w:color w:val="000000" w:themeColor="text1"/>
          <w:vertAlign w:val="superscript"/>
          <w:lang w:val="ro-RO" w:eastAsia="ro-MD"/>
        </w:rPr>
        <w:t>9</w:t>
      </w:r>
      <w:r w:rsidRPr="00D87955">
        <w:rPr>
          <w:b/>
          <w:bCs/>
          <w:color w:val="000000" w:themeColor="text1"/>
          <w:lang w:val="ro-RO" w:eastAsia="ro-MD"/>
        </w:rPr>
        <w:t>.</w:t>
      </w:r>
      <w:r w:rsidRPr="00D87955">
        <w:rPr>
          <w:color w:val="000000" w:themeColor="text1"/>
          <w:lang w:val="ro-RO" w:eastAsia="ro-MD"/>
        </w:rPr>
        <w:t xml:space="preserve"> Băncile care aplică abordarea IRB expunerilor directe comparabile față de furnizorul de protecție utilizând metoda aplicabilă determinării vaporii ponderate la risc pentru expunerile provenind din finanțări specializate prevăzută în</w:t>
      </w:r>
      <w:r w:rsidRPr="00D87955">
        <w:rPr>
          <w:color w:val="000000" w:themeColor="text1"/>
          <w:lang w:val="ro-RO"/>
        </w:rPr>
        <w:t xml:space="preserve"> </w:t>
      </w:r>
      <w:r w:rsidRPr="00D87955">
        <w:rPr>
          <w:color w:val="000000" w:themeColor="text1"/>
          <w:lang w:val="ro-RO" w:eastAsia="ro-MD"/>
        </w:rPr>
        <w:t>actul normativ al Băncii Naționale a Moldovei aferent tratamentului riscului de credit pentru bănci potrivit abordării bazate pe modele interne de rating</w:t>
      </w:r>
      <w:r w:rsidR="00D87955">
        <w:rPr>
          <w:color w:val="000000" w:themeColor="text1"/>
          <w:lang w:val="ro-RO" w:eastAsia="ro-MD"/>
        </w:rPr>
        <w:t xml:space="preserve"> </w:t>
      </w:r>
      <w:r w:rsidRPr="00D87955">
        <w:rPr>
          <w:color w:val="000000" w:themeColor="text1"/>
          <w:lang w:val="ro-RO" w:eastAsia="ro-MD"/>
        </w:rPr>
        <w:t>utilizează ponderea de risc și pierderea așteptată aplicabile părții garantate a expunerii care corespund expunerilor provenind din finanțări specializate prevăzute în actul normativ menționat.</w:t>
      </w:r>
    </w:p>
    <w:p w14:paraId="2A6B2031" w14:textId="3E6E943F"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10</w:t>
      </w:r>
      <w:r w:rsidRPr="001D57C7">
        <w:rPr>
          <w:b/>
          <w:bCs/>
          <w:color w:val="000000" w:themeColor="text1"/>
          <w:lang w:val="ro-RO" w:eastAsia="ro-MD"/>
        </w:rPr>
        <w:t>.</w:t>
      </w:r>
      <w:r w:rsidRPr="001D57C7">
        <w:rPr>
          <w:color w:val="000000" w:themeColor="text1"/>
          <w:lang w:val="ro-RO" w:eastAsia="ro-MD"/>
        </w:rPr>
        <w:t xml:space="preserve"> În pofida punctului 116</w:t>
      </w:r>
      <w:r w:rsidRPr="001D57C7">
        <w:rPr>
          <w:color w:val="000000" w:themeColor="text1"/>
          <w:vertAlign w:val="superscript"/>
          <w:lang w:val="ro-RO" w:eastAsia="ro-MD"/>
        </w:rPr>
        <w:t>9</w:t>
      </w:r>
      <w:r w:rsidRPr="001D57C7">
        <w:rPr>
          <w:color w:val="000000" w:themeColor="text1"/>
          <w:lang w:val="ro-RO" w:eastAsia="ro-MD"/>
        </w:rPr>
        <w:t>, băncile care aplică abordarea IRB expunerilor garantate utilizând metoda aplicabilă determinării vaporii ponderate la risc pentru expunerile provenind din finanțări specializate prevăzută în</w:t>
      </w:r>
      <w:r w:rsidRPr="009C332D">
        <w:rPr>
          <w:color w:val="000000" w:themeColor="text1"/>
          <w:lang w:val="ro-RO"/>
        </w:rPr>
        <w:t xml:space="preserve"> </w:t>
      </w:r>
      <w:r w:rsidRPr="001D57C7">
        <w:rPr>
          <w:color w:val="000000" w:themeColor="text1"/>
          <w:lang w:val="ro-RO" w:eastAsia="ro-MD"/>
        </w:rPr>
        <w:t>actul normativ al Băncii Naționale a Moldovei aferent tratamentului riscului de credit pentru bănci potrivit abordării bazate pe modele interne de rating calculează ponderea de risc și pierderea așteptată aplicabile părții garantate a expunerii utilizând PD, LGD aplicabilă unei expuneri directe comparabile față de furnizorul de protecție, astfel cum se menționează în actul normativ al Băncii Naționale a Moldovei aferent tratamentului riscului de credit pentru bănci potrivit abordării bazate pe modele interne de rating, în conformitate cu punctul 116</w:t>
      </w:r>
      <w:r w:rsidRPr="001D57C7">
        <w:rPr>
          <w:color w:val="000000" w:themeColor="text1"/>
          <w:vertAlign w:val="superscript"/>
          <w:lang w:val="ro-RO" w:eastAsia="ro-MD"/>
        </w:rPr>
        <w:t>8</w:t>
      </w:r>
      <w:r w:rsidRPr="001D57C7">
        <w:rPr>
          <w:color w:val="000000" w:themeColor="text1"/>
          <w:lang w:val="ro-RO" w:eastAsia="ro-MD"/>
        </w:rPr>
        <w:t>, și aceeași funcție de ponderare a riscului ca cele utilizate pentru o expunere directă comparabilă față de furnizorul de protecție și, dacă este cazul, utilizează scadența (M) aferentă expunerii-suport, calculată în conformitate cu. Pentru expunerile subordonate și protecția nefinanțată a creditului nesubordonată, LGD care trebuie aplicată de către bănci părții garantate a valorii expunerii este LGD asociată creanțelor cu rang prioritar, iar băncile pot ține seama de orice protecție finanțată a creditului care garantează protecția nefinanțată a creditului în conformitate cu prezentul regulament.</w:t>
      </w:r>
    </w:p>
    <w:p w14:paraId="6ABEC546" w14:textId="2B9BB712"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11</w:t>
      </w:r>
      <w:r w:rsidRPr="001D57C7">
        <w:rPr>
          <w:b/>
          <w:bCs/>
          <w:color w:val="000000" w:themeColor="text1"/>
          <w:lang w:val="ro-RO" w:eastAsia="ro-MD"/>
        </w:rPr>
        <w:t>.</w:t>
      </w:r>
      <w:r w:rsidRPr="001D57C7">
        <w:rPr>
          <w:color w:val="000000" w:themeColor="text1"/>
          <w:lang w:val="ro-RO" w:eastAsia="ro-MD"/>
        </w:rPr>
        <w:t xml:space="preserve"> Pentru orice parte negarantată a valorii expunerii (E), băncile utilizează ponderea de risc și pierderea așteptată corespunzătoare expunerii-suport. Pentru calculul valorilor pierderilor așteptate, al deficitului conform IRB și al excedentului conform IRB prevăzut în actul normativ al Băncii Naționale a Moldovei aferent tratamentului riscului de credit pentru bănci potrivit abordării bazate pe modele interne de rating, băncile atribuie părții negarantate a valorii expunerii orice ajustare generală sau specifică pentru riscul de credit sau orice ajustare de valoare suplimentară în conformitate cu Regulamentul 109/2018 legată de activitățile din afara portofoliului de tranzacționare ale băncii sau orice altă reducere a fondurilor proprii legată de expunere, alta decât deducerile privind  cuantumul aplicabil al acoperirii insuficiente pentru expunerile neperformante efectuate în conformitate cu Regulamentul nr.109/2018.</w:t>
      </w:r>
    </w:p>
    <w:p w14:paraId="33A30797" w14:textId="6F195B3F"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12</w:t>
      </w:r>
      <w:r w:rsidRPr="001D57C7">
        <w:rPr>
          <w:b/>
          <w:bCs/>
          <w:color w:val="000000" w:themeColor="text1"/>
          <w:lang w:val="ro-RO" w:eastAsia="ro-MD"/>
        </w:rPr>
        <w:t>.</w:t>
      </w:r>
      <w:r w:rsidRPr="001D57C7">
        <w:rPr>
          <w:color w:val="000000" w:themeColor="text1"/>
          <w:lang w:val="ro-RO" w:eastAsia="ro-MD"/>
        </w:rPr>
        <w:t xml:space="preserve"> În sensul prezentei secțiuni, (G</w:t>
      </w:r>
      <w:r w:rsidRPr="001D57C7">
        <w:rPr>
          <w:color w:val="000000" w:themeColor="text1"/>
          <w:vertAlign w:val="subscript"/>
          <w:lang w:val="ro-RO" w:eastAsia="ro-MD"/>
        </w:rPr>
        <w:t>A</w:t>
      </w:r>
      <w:r w:rsidRPr="001D57C7">
        <w:rPr>
          <w:color w:val="000000" w:themeColor="text1"/>
          <w:lang w:val="ro-RO" w:eastAsia="ro-MD"/>
        </w:rPr>
        <w:t xml:space="preserve">) este valoarea protecției creditului ajustat în funcție de riscul valutar (G*) calculată în conformitate cu punctul 12 și ajustată suplimentar pentru orice neconcordanță </w:t>
      </w:r>
      <w:r w:rsidRPr="001D57C7">
        <w:rPr>
          <w:color w:val="000000" w:themeColor="text1"/>
          <w:lang w:val="ro-RO" w:eastAsia="ro-MD"/>
        </w:rPr>
        <w:lastRenderedPageBreak/>
        <w:t xml:space="preserve">de scadențe astfel cum se prevede în titlul V „neconcordanța de scadențe”. Valoarea expunerii (E) este valoarea expunerii determinată în conformitate cu actul normativ al Băncii Naționale a Moldovei aferent tratamentului riscului de credit pentru bănci potrivit abordării bazate pe modele interne de rating. Băncile calculează valoarea expunerii pentru elementele </w:t>
      </w:r>
      <w:proofErr w:type="spellStart"/>
      <w:r w:rsidRPr="001D57C7">
        <w:rPr>
          <w:color w:val="000000" w:themeColor="text1"/>
          <w:lang w:val="ro-RO" w:eastAsia="ro-MD"/>
        </w:rPr>
        <w:t>extrabilanțiere</w:t>
      </w:r>
      <w:proofErr w:type="spellEnd"/>
      <w:r w:rsidRPr="001D57C7">
        <w:rPr>
          <w:color w:val="000000" w:themeColor="text1"/>
          <w:lang w:val="ro-RO" w:eastAsia="ro-MD"/>
        </w:rPr>
        <w:t>, altele decât instrumentele financiare derivate tratate conform abordării IRB, utilizând un CCF de 100 % în locul CCF pe baza abordării standardizate sau al CCF pe baza IRB prevăzuți în actul normativ al Băncii Naționale a Moldovei aferent tratamentului riscului de credit pentru bănci potrivit abordării bazate pe modele interne de rating.</w:t>
      </w:r>
    </w:p>
    <w:p w14:paraId="1066FAAF" w14:textId="77777777" w:rsidR="009A79F2" w:rsidRPr="001D57C7" w:rsidRDefault="009A79F2" w:rsidP="009A79F2">
      <w:pPr>
        <w:jc w:val="center"/>
        <w:rPr>
          <w:color w:val="000000" w:themeColor="text1"/>
          <w:lang w:val="ro-RO" w:eastAsia="ro-MD"/>
        </w:rPr>
      </w:pPr>
      <w:r w:rsidRPr="001D57C7">
        <w:rPr>
          <w:b/>
          <w:bCs/>
          <w:i/>
          <w:iCs/>
          <w:color w:val="000000" w:themeColor="text1"/>
          <w:lang w:val="ro-RO" w:eastAsia="ro-MD"/>
        </w:rPr>
        <w:t>Secțiunea a 2</w:t>
      </w:r>
      <w:r w:rsidRPr="001D57C7">
        <w:rPr>
          <w:b/>
          <w:bCs/>
          <w:i/>
          <w:iCs/>
          <w:color w:val="000000" w:themeColor="text1"/>
          <w:vertAlign w:val="superscript"/>
          <w:lang w:val="ro-RO" w:eastAsia="ro-MD"/>
        </w:rPr>
        <w:t>3</w:t>
      </w:r>
      <w:r w:rsidRPr="001D57C7">
        <w:rPr>
          <w:b/>
          <w:bCs/>
          <w:i/>
          <w:iCs/>
          <w:color w:val="000000" w:themeColor="text1"/>
          <w:lang w:val="ro-RO" w:eastAsia="ro-MD"/>
        </w:rPr>
        <w:t>-a</w:t>
      </w:r>
    </w:p>
    <w:p w14:paraId="59ABC258" w14:textId="77777777" w:rsidR="009A79F2" w:rsidRPr="001D57C7" w:rsidRDefault="009A79F2" w:rsidP="009A79F2">
      <w:pPr>
        <w:ind w:firstLine="567"/>
        <w:jc w:val="both"/>
        <w:rPr>
          <w:color w:val="000000" w:themeColor="text1"/>
          <w:lang w:val="ro-RO" w:eastAsia="ro-MD"/>
        </w:rPr>
      </w:pPr>
      <w:r w:rsidRPr="001D57C7">
        <w:rPr>
          <w:b/>
          <w:bCs/>
          <w:i/>
          <w:iCs/>
          <w:color w:val="000000" w:themeColor="text1"/>
          <w:lang w:val="ro-RO" w:eastAsia="ro-MD"/>
        </w:rPr>
        <w:t>Calculul cuantumurilor ponderate la risc ale expunerilor și al cuantumurilor pierderilor așteptate în conformitate cu metoda substituției atunci când expunerea garantată este tratată conform abordării IRB utilizându-se estimările proprii ale LGD, iar o expunere directă comparabilă față de furnizorul de protecție este tratată conform abordării IRB</w:t>
      </w:r>
    </w:p>
    <w:p w14:paraId="2D4BA1B5" w14:textId="77777777" w:rsidR="009A79F2" w:rsidRPr="001D57C7" w:rsidRDefault="009A79F2" w:rsidP="009A79F2">
      <w:pPr>
        <w:ind w:firstLine="567"/>
        <w:jc w:val="both"/>
        <w:rPr>
          <w:color w:val="000000" w:themeColor="text1"/>
          <w:lang w:val="ro-RO" w:eastAsia="ro-MD"/>
        </w:rPr>
      </w:pPr>
    </w:p>
    <w:p w14:paraId="49875A45" w14:textId="20EAB5B5"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13</w:t>
      </w:r>
      <w:r w:rsidRPr="001D57C7">
        <w:rPr>
          <w:b/>
          <w:bCs/>
          <w:color w:val="000000" w:themeColor="text1"/>
          <w:lang w:val="ro-RO" w:eastAsia="ro-MD"/>
        </w:rPr>
        <w:t>.</w:t>
      </w:r>
      <w:r w:rsidRPr="001D57C7">
        <w:rPr>
          <w:color w:val="000000" w:themeColor="text1"/>
          <w:lang w:val="ro-RO" w:eastAsia="ro-MD"/>
        </w:rPr>
        <w:t xml:space="preserve"> În cazul unei expuneri cu protecție nefinanțată a creditului pentru care o bancă aplică abordarea IRB utilizând propriile estimări ale LGD și în cazul în care expunerile directe comparabile față de furnizorul de protecție sunt tratate în conformitate cu abordarea IRB, însă fără utilizarea propriilor estimări ale LGD, banca determină partea garantată a expunerii ca fiind cea mai mică dintre valoarea expunerii (E) și valoarea ajustată a protecției nefinanțate a creditului (G</w:t>
      </w:r>
      <w:r w:rsidRPr="008D25C5">
        <w:rPr>
          <w:color w:val="000000" w:themeColor="text1"/>
          <w:vertAlign w:val="subscript"/>
          <w:lang w:val="ro-RO" w:eastAsia="ro-MD"/>
        </w:rPr>
        <w:t>A</w:t>
      </w:r>
      <w:r w:rsidRPr="001D57C7">
        <w:rPr>
          <w:color w:val="000000" w:themeColor="text1"/>
          <w:lang w:val="ro-RO" w:eastAsia="ro-MD"/>
        </w:rPr>
        <w:t>), calculată în conformitate cu punctul 116</w:t>
      </w:r>
      <w:r w:rsidRPr="001D57C7">
        <w:rPr>
          <w:color w:val="000000" w:themeColor="text1"/>
          <w:vertAlign w:val="superscript"/>
          <w:lang w:val="ro-RO" w:eastAsia="ro-MD"/>
        </w:rPr>
        <w:t>1</w:t>
      </w:r>
      <w:r w:rsidRPr="001D57C7">
        <w:rPr>
          <w:color w:val="000000" w:themeColor="text1"/>
          <w:lang w:val="ro-RO" w:eastAsia="ro-MD"/>
        </w:rPr>
        <w:t>. Banca calculează valoarea ponderată la risc a expunerii și cuantumul pierderii așteptate pentru partea garantată a valorii expunerii utilizând PD, LGD și aceeași funcție de ponderare a riscului ca cele utilizate pentru o expunere directă comparabilă față de furnizorul de protecție și utilizează, dacă este cazul, scadența (M) aferentă expunerii-suport.</w:t>
      </w:r>
    </w:p>
    <w:p w14:paraId="689EE7C6" w14:textId="6A800F5A"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14</w:t>
      </w:r>
      <w:r w:rsidRPr="001D57C7">
        <w:rPr>
          <w:b/>
          <w:bCs/>
          <w:color w:val="000000" w:themeColor="text1"/>
          <w:lang w:val="ro-RO" w:eastAsia="ro-MD"/>
        </w:rPr>
        <w:t>.</w:t>
      </w:r>
      <w:r w:rsidRPr="001D57C7">
        <w:rPr>
          <w:color w:val="000000" w:themeColor="text1"/>
          <w:lang w:val="ro-RO" w:eastAsia="ro-MD"/>
        </w:rPr>
        <w:t xml:space="preserve"> Băncile care aplică abordarea IRB, dar fără a utiliza propriile estimări ale LGD, expunerilor directe comparabile față de furnizorul de protecție determină LGD în conformitate cu actul normativ al Băncii Naționale a Moldovei aferent tratamentului riscului de credit pentru bănci potrivit abordării bazate pe modele interne de rating. Pentru expunerile subordonate și protecția nefinanțată a creditului nesubordonată, LGD care trebuie aplicată de către bănci părții garantate a valorii expunerii este LGD asociată creanțelor cu rang prioritar, iar băncile ar putea ține seama de orice protecție finanțată a creditului care garantează protecția nefinanțată a creditului în conformitate cu prezentul regulament.</w:t>
      </w:r>
    </w:p>
    <w:p w14:paraId="332E878C" w14:textId="40B44841"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15</w:t>
      </w:r>
      <w:r w:rsidRPr="001D57C7">
        <w:rPr>
          <w:b/>
          <w:bCs/>
          <w:color w:val="000000" w:themeColor="text1"/>
          <w:lang w:val="ro-RO" w:eastAsia="ro-MD"/>
        </w:rPr>
        <w:t>.</w:t>
      </w:r>
      <w:r w:rsidRPr="001D57C7">
        <w:rPr>
          <w:color w:val="000000" w:themeColor="text1"/>
          <w:lang w:val="ro-RO" w:eastAsia="ro-MD"/>
        </w:rPr>
        <w:t xml:space="preserve"> Băncile care aplică abordarea IRB, utilizând propriile estimări ale LGD, expunerilor directe comparabile față de furnizorul de protecție calculează ponderea de risc și pierderea așteptată aplicabile părții garantate a expunerii-suport utilizând PD, LGD și aceeași funcție de ponderare a riscului ca cele utilizate pentru o expunere directă comparabilă față de furnizorul de protecție și utilizează, dacă este cazul, scadența (M) aferentă expunerii-suport, calculată în conformitate cu actul normativ al Băncii Naționale a Moldovei aferent tratamentului riscului de credit pentru bănci potrivit abordării bazate pe modele interne de rating.</w:t>
      </w:r>
    </w:p>
    <w:p w14:paraId="1B12DFED" w14:textId="73B3A74C" w:rsidR="009A79F2" w:rsidRPr="00D87955"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16</w:t>
      </w:r>
      <w:r w:rsidRPr="001D57C7">
        <w:rPr>
          <w:b/>
          <w:bCs/>
          <w:color w:val="000000" w:themeColor="text1"/>
          <w:lang w:val="ro-RO" w:eastAsia="ro-MD"/>
        </w:rPr>
        <w:t>.</w:t>
      </w:r>
      <w:r w:rsidRPr="001D57C7">
        <w:rPr>
          <w:color w:val="000000" w:themeColor="text1"/>
          <w:lang w:val="ro-RO" w:eastAsia="ro-MD"/>
        </w:rPr>
        <w:t xml:space="preserve"> Băncile care aplică abordarea IRB expunerilor directe comparabile față de furnizorul de protecție utilizând metoda aplicabilă determinării vaporii ponderate la risc pentru expunerile provenind din finanțări specializate prevăzută în</w:t>
      </w:r>
      <w:r w:rsidRPr="009C332D">
        <w:rPr>
          <w:color w:val="000000" w:themeColor="text1"/>
          <w:lang w:val="ro-RO"/>
        </w:rPr>
        <w:t xml:space="preserve"> </w:t>
      </w:r>
      <w:r w:rsidRPr="001D57C7">
        <w:rPr>
          <w:color w:val="000000" w:themeColor="text1"/>
          <w:lang w:val="ro-RO" w:eastAsia="ro-MD"/>
        </w:rPr>
        <w:t>actul normativ al Băncii Naționale a Moldovei aferent tratamentului riscului de credit pentru bănci potrivit abordării bazate pe modele interne de rating</w:t>
      </w:r>
      <w:r w:rsidR="00D87955">
        <w:rPr>
          <w:color w:val="000000" w:themeColor="text1"/>
          <w:lang w:val="ro-RO" w:eastAsia="ro-MD"/>
        </w:rPr>
        <w:t xml:space="preserve"> </w:t>
      </w:r>
      <w:r w:rsidRPr="001D57C7">
        <w:rPr>
          <w:color w:val="000000" w:themeColor="text1"/>
          <w:lang w:val="ro-RO" w:eastAsia="ro-MD"/>
        </w:rPr>
        <w:t xml:space="preserve">utilizează ponderea de risc și pierderea așteptată aplicabile părții garantate a expunerii care corespund </w:t>
      </w:r>
      <w:r w:rsidRPr="00D87955">
        <w:rPr>
          <w:color w:val="000000" w:themeColor="text1"/>
          <w:lang w:val="ro-RO" w:eastAsia="ro-MD"/>
        </w:rPr>
        <w:t>expunerilor provenind din finanțări specializate prevăzute în actul normativ menționat.</w:t>
      </w:r>
    </w:p>
    <w:p w14:paraId="3E254750" w14:textId="6FD83DE0" w:rsidR="009A79F2" w:rsidRPr="001D57C7" w:rsidRDefault="009A79F2" w:rsidP="00D87955">
      <w:pPr>
        <w:jc w:val="both"/>
        <w:rPr>
          <w:color w:val="000000" w:themeColor="text1"/>
          <w:lang w:val="ro-RO" w:eastAsia="ro-MD"/>
        </w:rPr>
      </w:pPr>
      <w:r w:rsidRPr="001D57C7">
        <w:rPr>
          <w:b/>
          <w:bCs/>
          <w:color w:val="000000" w:themeColor="text1"/>
          <w:lang w:val="ro-RO" w:eastAsia="ro-MD"/>
        </w:rPr>
        <w:t>116</w:t>
      </w:r>
      <w:r w:rsidRPr="001D57C7">
        <w:rPr>
          <w:b/>
          <w:bCs/>
          <w:color w:val="000000" w:themeColor="text1"/>
          <w:vertAlign w:val="superscript"/>
          <w:lang w:val="ro-RO" w:eastAsia="ro-MD"/>
        </w:rPr>
        <w:t>17</w:t>
      </w:r>
      <w:r w:rsidRPr="001D57C7">
        <w:rPr>
          <w:b/>
          <w:bCs/>
          <w:color w:val="000000" w:themeColor="text1"/>
          <w:lang w:val="ro-RO" w:eastAsia="ro-MD"/>
        </w:rPr>
        <w:t>.</w:t>
      </w:r>
      <w:r w:rsidRPr="001D57C7">
        <w:rPr>
          <w:color w:val="000000" w:themeColor="text1"/>
          <w:lang w:val="ro-RO" w:eastAsia="ro-MD"/>
        </w:rPr>
        <w:t xml:space="preserve"> Pentru orice parte negarantată a valorii expunerii (E), băncile utilizează ponderea de risc și pierderea așteptată corespunzătoare expunerii-suport. Pentru calculul valorilor pierderilor așteptate, al deficitului conform IRB și al excedentului conform IRB prevăzut în actul normativ al Băncii Naționale a Moldovei aferent tratamentului riscului de credit pentru bănci potrivit abordării bazate pe modele interne de rating prevăzut la, băncile atribuie părții negarantate a valorii expunerii orice </w:t>
      </w:r>
      <w:r w:rsidRPr="001D57C7">
        <w:rPr>
          <w:color w:val="000000" w:themeColor="text1"/>
          <w:lang w:val="ro-RO" w:eastAsia="ro-MD"/>
        </w:rPr>
        <w:lastRenderedPageBreak/>
        <w:t>ajustare generală sau specifică pentru riscul de credit sau orice ajustare de valoare suplimentară în conformitate cu Regulamentul 109/2018 legată de activitățile din afara portofoliului de tranzacționare ale băncii sau orice altă reducere a fondurilor proprii legată de expunere, alta decât deducerile privind cuantumul aplicabil al acoperirii insuficiente pentru expunerile neperformante efectuate în conformitate cu Regulamentul nr.109/2018.</w:t>
      </w:r>
      <w:r>
        <w:rPr>
          <w:color w:val="000000" w:themeColor="text1"/>
          <w:sz w:val="18"/>
          <w:szCs w:val="18"/>
          <w:lang w:val="ro-RO" w:eastAsia="ro-MD"/>
        </w:rPr>
        <w:t>”.</w:t>
      </w:r>
    </w:p>
    <w:p w14:paraId="1B0CD839" w14:textId="5DB7A501" w:rsidR="000B2CBE" w:rsidRPr="00754EA6" w:rsidRDefault="00754EA6" w:rsidP="00F7502D">
      <w:pPr>
        <w:pStyle w:val="ListParagraph"/>
        <w:numPr>
          <w:ilvl w:val="1"/>
          <w:numId w:val="27"/>
        </w:numPr>
        <w:tabs>
          <w:tab w:val="left" w:pos="567"/>
        </w:tabs>
        <w:spacing w:before="80"/>
        <w:ind w:left="0" w:firstLine="567"/>
        <w:contextualSpacing w:val="0"/>
        <w:jc w:val="both"/>
        <w:rPr>
          <w:color w:val="000000" w:themeColor="text1"/>
          <w:lang w:val="ro-RO"/>
        </w:rPr>
      </w:pPr>
      <w:r w:rsidRPr="00754EA6">
        <w:rPr>
          <w:color w:val="000000" w:themeColor="text1"/>
          <w:lang w:val="ro-RO" w:eastAsia="ro-MD"/>
        </w:rPr>
        <w:t>Punctul 119</w:t>
      </w:r>
      <w:r w:rsidRPr="00754EA6">
        <w:rPr>
          <w:lang w:val="ro-RO"/>
        </w:rPr>
        <w:t xml:space="preserve"> se completează</w:t>
      </w:r>
      <w:r w:rsidR="006952B7">
        <w:rPr>
          <w:lang w:val="ro-RO"/>
        </w:rPr>
        <w:t>,</w:t>
      </w:r>
      <w:r w:rsidRPr="00754EA6">
        <w:rPr>
          <w:lang w:val="ro-RO"/>
        </w:rPr>
        <w:t xml:space="preserve"> la final</w:t>
      </w:r>
      <w:r w:rsidR="006952B7">
        <w:rPr>
          <w:lang w:val="ro-RO"/>
        </w:rPr>
        <w:t>,</w:t>
      </w:r>
      <w:r w:rsidRPr="00754EA6">
        <w:rPr>
          <w:lang w:val="ro-RO"/>
        </w:rPr>
        <w:t xml:space="preserve"> cu textul „</w:t>
      </w:r>
      <w:r w:rsidRPr="00754EA6">
        <w:rPr>
          <w:color w:val="000000" w:themeColor="text1"/>
          <w:lang w:val="ro-RO" w:eastAsia="ro-MD"/>
        </w:rPr>
        <w:t>sau dacă expunerea este o expunere pe termen scurt, a cărei valoare a scadenței (M) calculată conform actului normativ al Băncii Naționale a Moldovei aferent tratamentului riscului de credit pentru bănci potrivit abordării bazate pe modele interne de rating este supusă, unui plafon de o zi și nu de un an</w:t>
      </w:r>
      <w:r>
        <w:rPr>
          <w:color w:val="000000" w:themeColor="text1"/>
          <w:lang w:val="ro-RO" w:eastAsia="ro-MD"/>
        </w:rPr>
        <w:t>”</w:t>
      </w:r>
      <w:r w:rsidRPr="00754EA6">
        <w:rPr>
          <w:color w:val="000000" w:themeColor="text1"/>
          <w:lang w:val="ro-RO" w:eastAsia="ro-MD"/>
        </w:rPr>
        <w:t>.</w:t>
      </w:r>
    </w:p>
    <w:p w14:paraId="29CEB5BB" w14:textId="395EE1A2" w:rsidR="000B2CBE" w:rsidRPr="00754EA6" w:rsidRDefault="00754EA6" w:rsidP="00F7502D">
      <w:pPr>
        <w:pStyle w:val="ListParagraph"/>
        <w:numPr>
          <w:ilvl w:val="1"/>
          <w:numId w:val="27"/>
        </w:numPr>
        <w:tabs>
          <w:tab w:val="left" w:pos="567"/>
        </w:tabs>
        <w:spacing w:before="80"/>
        <w:ind w:left="0" w:firstLine="567"/>
        <w:contextualSpacing w:val="0"/>
        <w:jc w:val="both"/>
        <w:rPr>
          <w:color w:val="000000" w:themeColor="text1"/>
          <w:lang w:val="ro-RO"/>
        </w:rPr>
      </w:pPr>
      <w:r>
        <w:rPr>
          <w:color w:val="000000" w:themeColor="text1"/>
          <w:lang w:val="ro-RO" w:eastAsia="ro-MD"/>
        </w:rPr>
        <w:t>Titlul VI se abrogă.</w:t>
      </w:r>
    </w:p>
    <w:p w14:paraId="5B240657" w14:textId="79857CEF" w:rsidR="00F7502D" w:rsidRPr="000B2CBE" w:rsidRDefault="002865EE" w:rsidP="001E0E28">
      <w:pPr>
        <w:pStyle w:val="ListParagraph"/>
        <w:numPr>
          <w:ilvl w:val="0"/>
          <w:numId w:val="27"/>
        </w:numPr>
        <w:tabs>
          <w:tab w:val="left" w:pos="0"/>
          <w:tab w:val="left" w:pos="567"/>
        </w:tabs>
        <w:spacing w:before="80" w:after="80"/>
        <w:ind w:left="0" w:firstLine="567"/>
        <w:contextualSpacing w:val="0"/>
        <w:jc w:val="both"/>
        <w:rPr>
          <w:color w:val="000000" w:themeColor="text1"/>
          <w:lang w:val="ro-MD"/>
        </w:rPr>
      </w:pPr>
      <w:r w:rsidRPr="000B2CBE">
        <w:rPr>
          <w:color w:val="000000" w:themeColor="text1"/>
          <w:lang w:val="ro-MD"/>
        </w:rPr>
        <w:t>Prezenta hotărâre intră în vigoare</w:t>
      </w:r>
      <w:r w:rsidR="003C0F8D" w:rsidRPr="000B2CBE">
        <w:rPr>
          <w:color w:val="000000" w:themeColor="text1"/>
          <w:lang w:val="ro-MD"/>
        </w:rPr>
        <w:t xml:space="preserve"> </w:t>
      </w:r>
      <w:r w:rsidR="00F7502D" w:rsidRPr="000B2CBE">
        <w:rPr>
          <w:color w:val="000000" w:themeColor="text1"/>
          <w:lang w:val="ro-MD"/>
        </w:rPr>
        <w:t xml:space="preserve">la </w:t>
      </w:r>
      <w:r w:rsidR="001E0E28" w:rsidRPr="000B2CBE">
        <w:rPr>
          <w:color w:val="000000" w:themeColor="text1"/>
          <w:lang w:val="ro-MD"/>
        </w:rPr>
        <w:t xml:space="preserve">1 </w:t>
      </w:r>
      <w:r w:rsidR="0023120D">
        <w:rPr>
          <w:color w:val="000000" w:themeColor="text1"/>
          <w:lang w:val="ro-MD"/>
        </w:rPr>
        <w:t>iulie</w:t>
      </w:r>
      <w:r w:rsidR="001E0E28" w:rsidRPr="000B2CBE">
        <w:rPr>
          <w:color w:val="000000" w:themeColor="text1"/>
          <w:lang w:val="ro-MD"/>
        </w:rPr>
        <w:t xml:space="preserve"> 2027</w:t>
      </w:r>
      <w:r w:rsidR="006952B7">
        <w:rPr>
          <w:color w:val="000000" w:themeColor="text1"/>
          <w:lang w:val="ro-MD"/>
        </w:rPr>
        <w:t>,</w:t>
      </w:r>
      <w:r w:rsidR="001E0E28" w:rsidRPr="000B2CBE">
        <w:rPr>
          <w:color w:val="000000" w:themeColor="text1"/>
          <w:lang w:val="ro-MD"/>
        </w:rPr>
        <w:t xml:space="preserve"> cu excepția </w:t>
      </w:r>
      <w:bookmarkEnd w:id="2"/>
      <w:r w:rsidR="00700ADF">
        <w:rPr>
          <w:color w:val="000000" w:themeColor="text1"/>
          <w:lang w:val="ro-MD"/>
        </w:rPr>
        <w:t xml:space="preserve">prevederilor </w:t>
      </w:r>
      <w:r w:rsidR="00DB17CB">
        <w:rPr>
          <w:color w:val="000000" w:themeColor="text1"/>
          <w:lang w:val="ro-MD"/>
        </w:rPr>
        <w:t>a</w:t>
      </w:r>
      <w:r w:rsidR="00F7502D" w:rsidRPr="000B2CBE">
        <w:rPr>
          <w:color w:val="000000" w:themeColor="text1"/>
          <w:lang w:val="ro-MD"/>
        </w:rPr>
        <w:t xml:space="preserve">ferente </w:t>
      </w:r>
      <w:r w:rsidR="00A23121" w:rsidRPr="000B2CBE">
        <w:rPr>
          <w:color w:val="000000" w:themeColor="text1"/>
          <w:lang w:val="ro-MD"/>
        </w:rPr>
        <w:t xml:space="preserve">elementelor reprezentând poziții din </w:t>
      </w:r>
      <w:r w:rsidR="00F7502D" w:rsidRPr="000B2CBE">
        <w:rPr>
          <w:color w:val="000000" w:themeColor="text1"/>
          <w:lang w:val="ro-MD"/>
        </w:rPr>
        <w:t xml:space="preserve">securitizări, </w:t>
      </w:r>
      <w:r w:rsidR="00DB17CB">
        <w:rPr>
          <w:color w:val="000000" w:themeColor="text1"/>
          <w:lang w:val="ro-MD"/>
        </w:rPr>
        <w:t xml:space="preserve">care </w:t>
      </w:r>
      <w:r w:rsidR="003B71F3" w:rsidRPr="000B2CBE">
        <w:rPr>
          <w:color w:val="000000" w:themeColor="text1"/>
          <w:lang w:val="ro-MD"/>
        </w:rPr>
        <w:t xml:space="preserve">vor </w:t>
      </w:r>
      <w:r w:rsidR="00F7502D" w:rsidRPr="000B2CBE">
        <w:rPr>
          <w:color w:val="000000" w:themeColor="text1"/>
          <w:lang w:val="ro-MD"/>
        </w:rPr>
        <w:t>intr</w:t>
      </w:r>
      <w:r w:rsidR="003B71F3" w:rsidRPr="000B2CBE">
        <w:rPr>
          <w:color w:val="000000" w:themeColor="text1"/>
          <w:lang w:val="ro-MD"/>
        </w:rPr>
        <w:t>a</w:t>
      </w:r>
      <w:r w:rsidR="00F7502D" w:rsidRPr="000B2CBE">
        <w:rPr>
          <w:color w:val="000000" w:themeColor="text1"/>
          <w:lang w:val="ro-MD"/>
        </w:rPr>
        <w:t xml:space="preserve"> în vigoare la 1 ianuarie 2028.</w:t>
      </w:r>
    </w:p>
    <w:sectPr w:rsidR="00F7502D" w:rsidRPr="000B2CBE" w:rsidSect="000A0A0B">
      <w:headerReference w:type="even" r:id="rId20"/>
      <w:headerReference w:type="default" r:id="rId21"/>
      <w:footerReference w:type="even" r:id="rId22"/>
      <w:footerReference w:type="default" r:id="rId23"/>
      <w:headerReference w:type="first" r:id="rId24"/>
      <w:footerReference w:type="first" r:id="rId25"/>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6603" w14:textId="77777777" w:rsidR="00EB011E" w:rsidRDefault="00EB011E" w:rsidP="00D5426C">
      <w:r>
        <w:separator/>
      </w:r>
    </w:p>
  </w:endnote>
  <w:endnote w:type="continuationSeparator" w:id="0">
    <w:p w14:paraId="565E2D4E" w14:textId="77777777" w:rsidR="00EB011E" w:rsidRDefault="00EB011E"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EndPr>
      <w:rPr>
        <w:noProof/>
      </w:rPr>
    </w:sdtEndPr>
    <w:sdtContent>
      <w:p w14:paraId="235EC9EA" w14:textId="0CC9EF1B" w:rsidR="00002DD2" w:rsidRDefault="0000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Default="000A0A0B"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7D9F" w14:textId="77777777" w:rsidR="00EB011E" w:rsidRDefault="00EB011E" w:rsidP="00D5426C">
      <w:r>
        <w:separator/>
      </w:r>
    </w:p>
  </w:footnote>
  <w:footnote w:type="continuationSeparator" w:id="0">
    <w:p w14:paraId="6E469309" w14:textId="77777777" w:rsidR="00EB011E" w:rsidRDefault="00EB011E"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Default="00275D6F" w:rsidP="00D5426C">
    <w:pPr>
      <w:pStyle w:val="Header"/>
      <w:jc w:val="right"/>
    </w:pPr>
    <w:bookmarkStart w:id="4" w:name="TITUS1HeaderEvenPages"/>
    <w:r>
      <w:t xml:space="preserve"> </w:t>
    </w:r>
  </w:p>
  <w:bookmarkEnd w:id="4"/>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9E7A2C"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6A1EEF72" w:rsidR="00275D6F" w:rsidRPr="001409D9" w:rsidRDefault="00275D6F"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2379"/>
    <w:multiLevelType w:val="hybridMultilevel"/>
    <w:tmpl w:val="13668678"/>
    <w:lvl w:ilvl="0" w:tplc="AFCCBE18">
      <w:start w:val="1"/>
      <w:numFmt w:val="decimal"/>
      <w:suff w:val="space"/>
      <w:lvlText w:val="%1)"/>
      <w:lvlJc w:val="left"/>
      <w:pPr>
        <w:ind w:left="927" w:hanging="360"/>
      </w:pPr>
      <w:rPr>
        <w:rFonts w:hint="default"/>
      </w:rPr>
    </w:lvl>
    <w:lvl w:ilvl="1" w:tplc="08180019">
      <w:start w:val="1"/>
      <w:numFmt w:val="lowerLetter"/>
      <w:lvlText w:val="%2."/>
      <w:lvlJc w:val="left"/>
      <w:pPr>
        <w:ind w:left="1647" w:hanging="360"/>
      </w:pPr>
    </w:lvl>
    <w:lvl w:ilvl="2" w:tplc="0818001B">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97F4B90"/>
    <w:multiLevelType w:val="hybridMultilevel"/>
    <w:tmpl w:val="2A0C7D74"/>
    <w:lvl w:ilvl="0" w:tplc="05EC9A26">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EF3816"/>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1" w15:restartNumberingAfterBreak="0">
    <w:nsid w:val="29A9627F"/>
    <w:multiLevelType w:val="hybridMultilevel"/>
    <w:tmpl w:val="204ED19C"/>
    <w:lvl w:ilvl="0" w:tplc="B79A1572">
      <w:start w:val="1"/>
      <w:numFmt w:val="decimal"/>
      <w:lvlText w:val="%1)"/>
      <w:lvlJc w:val="left"/>
      <w:pPr>
        <w:ind w:left="930" w:hanging="57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C8C2FA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A379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F87A3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345D8B"/>
    <w:multiLevelType w:val="multilevel"/>
    <w:tmpl w:val="24ECC6FC"/>
    <w:lvl w:ilvl="0">
      <w:start w:val="1"/>
      <w:numFmt w:val="decimal"/>
      <w:lvlText w:val="%1."/>
      <w:lvlJc w:val="center"/>
      <w:pPr>
        <w:ind w:left="227" w:firstLine="62"/>
      </w:pPr>
      <w:rPr>
        <w:rFonts w:hint="default"/>
        <w:b/>
        <w:bCs/>
      </w:rPr>
    </w:lvl>
    <w:lvl w:ilvl="1">
      <w:start w:val="1"/>
      <w:numFmt w:val="decimal"/>
      <w:suff w:val="space"/>
      <w:lvlText w:val="%1.%2."/>
      <w:lvlJc w:val="left"/>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6"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C73B74"/>
    <w:multiLevelType w:val="multilevel"/>
    <w:tmpl w:val="24ECC6FC"/>
    <w:lvl w:ilvl="0">
      <w:start w:val="1"/>
      <w:numFmt w:val="decimal"/>
      <w:lvlText w:val="%1."/>
      <w:lvlJc w:val="center"/>
      <w:pPr>
        <w:ind w:left="222" w:firstLine="62"/>
      </w:pPr>
      <w:rPr>
        <w:rFonts w:hint="default"/>
        <w:b/>
        <w:bCs/>
      </w:rPr>
    </w:lvl>
    <w:lvl w:ilvl="1">
      <w:start w:val="1"/>
      <w:numFmt w:val="decimal"/>
      <w:suff w:val="space"/>
      <w:lvlText w:val="%1.%2."/>
      <w:lvlJc w:val="left"/>
      <w:pPr>
        <w:ind w:left="789" w:firstLine="62"/>
      </w:pPr>
      <w:rPr>
        <w:rFonts w:hint="default"/>
        <w:b/>
        <w:bCs/>
      </w:rPr>
    </w:lvl>
    <w:lvl w:ilvl="2">
      <w:start w:val="1"/>
      <w:numFmt w:val="decimal"/>
      <w:suff w:val="space"/>
      <w:lvlText w:val="%1.%2.%3."/>
      <w:lvlJc w:val="left"/>
      <w:pPr>
        <w:ind w:left="364"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21"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D32EED"/>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5" w15:restartNumberingAfterBreak="0">
    <w:nsid w:val="5C223B6F"/>
    <w:multiLevelType w:val="hybridMultilevel"/>
    <w:tmpl w:val="F1F87536"/>
    <w:lvl w:ilvl="0" w:tplc="945AA9C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0"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70B6DC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abstractNum w:abstractNumId="36" w15:restartNumberingAfterBreak="0">
    <w:nsid w:val="7FF07002"/>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num w:numId="1" w16cid:durableId="11009526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44632">
    <w:abstractNumId w:val="22"/>
  </w:num>
  <w:num w:numId="3" w16cid:durableId="741291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29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06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869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3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74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88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1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562777">
    <w:abstractNumId w:val="30"/>
  </w:num>
  <w:num w:numId="13" w16cid:durableId="1370764555">
    <w:abstractNumId w:val="1"/>
  </w:num>
  <w:num w:numId="14" w16cid:durableId="140847304">
    <w:abstractNumId w:val="3"/>
  </w:num>
  <w:num w:numId="15" w16cid:durableId="2118869199">
    <w:abstractNumId w:val="16"/>
  </w:num>
  <w:num w:numId="16" w16cid:durableId="1236402705">
    <w:abstractNumId w:val="6"/>
  </w:num>
  <w:num w:numId="17" w16cid:durableId="595210150">
    <w:abstractNumId w:val="34"/>
  </w:num>
  <w:num w:numId="18" w16cid:durableId="1710298874">
    <w:abstractNumId w:val="27"/>
  </w:num>
  <w:num w:numId="19" w16cid:durableId="547568932">
    <w:abstractNumId w:val="7"/>
  </w:num>
  <w:num w:numId="20" w16cid:durableId="1677152211">
    <w:abstractNumId w:val="0"/>
  </w:num>
  <w:num w:numId="21" w16cid:durableId="1915623828">
    <w:abstractNumId w:val="4"/>
  </w:num>
  <w:num w:numId="22" w16cid:durableId="283539057">
    <w:abstractNumId w:val="17"/>
  </w:num>
  <w:num w:numId="23" w16cid:durableId="1503735004">
    <w:abstractNumId w:val="28"/>
  </w:num>
  <w:num w:numId="24" w16cid:durableId="556627740">
    <w:abstractNumId w:val="26"/>
  </w:num>
  <w:num w:numId="25" w16cid:durableId="1084183317">
    <w:abstractNumId w:val="18"/>
  </w:num>
  <w:num w:numId="26" w16cid:durableId="1341809678">
    <w:abstractNumId w:val="5"/>
  </w:num>
  <w:num w:numId="27" w16cid:durableId="1062093486">
    <w:abstractNumId w:val="20"/>
  </w:num>
  <w:num w:numId="28" w16cid:durableId="1351371882">
    <w:abstractNumId w:val="25"/>
  </w:num>
  <w:num w:numId="29" w16cid:durableId="563100354">
    <w:abstractNumId w:val="11"/>
  </w:num>
  <w:num w:numId="30" w16cid:durableId="2060282042">
    <w:abstractNumId w:val="8"/>
  </w:num>
  <w:num w:numId="31" w16cid:durableId="412700447">
    <w:abstractNumId w:val="2"/>
  </w:num>
  <w:num w:numId="32" w16cid:durableId="1700861896">
    <w:abstractNumId w:val="10"/>
  </w:num>
  <w:num w:numId="33" w16cid:durableId="2061980253">
    <w:abstractNumId w:val="36"/>
  </w:num>
  <w:num w:numId="34" w16cid:durableId="469136039">
    <w:abstractNumId w:val="14"/>
  </w:num>
  <w:num w:numId="35" w16cid:durableId="625627603">
    <w:abstractNumId w:val="23"/>
  </w:num>
  <w:num w:numId="36" w16cid:durableId="1793162598">
    <w:abstractNumId w:val="15"/>
  </w:num>
  <w:num w:numId="37" w16cid:durableId="554007267">
    <w:abstractNumId w:val="13"/>
  </w:num>
  <w:num w:numId="38" w16cid:durableId="1871911474">
    <w:abstractNumId w:val="12"/>
  </w:num>
  <w:num w:numId="39" w16cid:durableId="20602790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8D0"/>
    <w:rsid w:val="00000A1E"/>
    <w:rsid w:val="00002DD2"/>
    <w:rsid w:val="00004C9C"/>
    <w:rsid w:val="00004E08"/>
    <w:rsid w:val="00005CC0"/>
    <w:rsid w:val="000062E8"/>
    <w:rsid w:val="0000731F"/>
    <w:rsid w:val="00010541"/>
    <w:rsid w:val="00012136"/>
    <w:rsid w:val="00013153"/>
    <w:rsid w:val="00015315"/>
    <w:rsid w:val="0001535B"/>
    <w:rsid w:val="00015A00"/>
    <w:rsid w:val="00015F9E"/>
    <w:rsid w:val="00016213"/>
    <w:rsid w:val="0001648A"/>
    <w:rsid w:val="00016FD7"/>
    <w:rsid w:val="000202E2"/>
    <w:rsid w:val="00022040"/>
    <w:rsid w:val="00022961"/>
    <w:rsid w:val="00024254"/>
    <w:rsid w:val="0002449C"/>
    <w:rsid w:val="00024745"/>
    <w:rsid w:val="00024D44"/>
    <w:rsid w:val="000271BA"/>
    <w:rsid w:val="00031C90"/>
    <w:rsid w:val="0003245D"/>
    <w:rsid w:val="00033BE2"/>
    <w:rsid w:val="0003402E"/>
    <w:rsid w:val="000340B6"/>
    <w:rsid w:val="00034D45"/>
    <w:rsid w:val="00034ECD"/>
    <w:rsid w:val="000363F6"/>
    <w:rsid w:val="000365C1"/>
    <w:rsid w:val="00036A2E"/>
    <w:rsid w:val="000374C5"/>
    <w:rsid w:val="00040571"/>
    <w:rsid w:val="000415C8"/>
    <w:rsid w:val="00041B25"/>
    <w:rsid w:val="00042580"/>
    <w:rsid w:val="00042943"/>
    <w:rsid w:val="00042EFC"/>
    <w:rsid w:val="00043F32"/>
    <w:rsid w:val="00046430"/>
    <w:rsid w:val="000465A3"/>
    <w:rsid w:val="00046928"/>
    <w:rsid w:val="000469AC"/>
    <w:rsid w:val="0004725A"/>
    <w:rsid w:val="000477DB"/>
    <w:rsid w:val="000505D9"/>
    <w:rsid w:val="00050E7E"/>
    <w:rsid w:val="0005138E"/>
    <w:rsid w:val="000513F6"/>
    <w:rsid w:val="0005444E"/>
    <w:rsid w:val="000567C0"/>
    <w:rsid w:val="00057B60"/>
    <w:rsid w:val="00057EB7"/>
    <w:rsid w:val="00060555"/>
    <w:rsid w:val="000606BA"/>
    <w:rsid w:val="00061719"/>
    <w:rsid w:val="000638E9"/>
    <w:rsid w:val="00064598"/>
    <w:rsid w:val="00064BD9"/>
    <w:rsid w:val="00066014"/>
    <w:rsid w:val="0006661B"/>
    <w:rsid w:val="000667E3"/>
    <w:rsid w:val="00066F44"/>
    <w:rsid w:val="000723FD"/>
    <w:rsid w:val="00072CC5"/>
    <w:rsid w:val="000730E4"/>
    <w:rsid w:val="000748E8"/>
    <w:rsid w:val="00075419"/>
    <w:rsid w:val="00075C2D"/>
    <w:rsid w:val="0007653E"/>
    <w:rsid w:val="00077162"/>
    <w:rsid w:val="000771C6"/>
    <w:rsid w:val="0007732E"/>
    <w:rsid w:val="00077C4D"/>
    <w:rsid w:val="00080147"/>
    <w:rsid w:val="000804F1"/>
    <w:rsid w:val="000807AB"/>
    <w:rsid w:val="00080984"/>
    <w:rsid w:val="00083C8C"/>
    <w:rsid w:val="00084DA9"/>
    <w:rsid w:val="00085A17"/>
    <w:rsid w:val="00085B0E"/>
    <w:rsid w:val="0008627B"/>
    <w:rsid w:val="00086450"/>
    <w:rsid w:val="000868D8"/>
    <w:rsid w:val="00090169"/>
    <w:rsid w:val="00090870"/>
    <w:rsid w:val="00091C2F"/>
    <w:rsid w:val="00092360"/>
    <w:rsid w:val="00092B8E"/>
    <w:rsid w:val="00095646"/>
    <w:rsid w:val="00095E2F"/>
    <w:rsid w:val="000964CF"/>
    <w:rsid w:val="000A0A0B"/>
    <w:rsid w:val="000A11E4"/>
    <w:rsid w:val="000A3B8D"/>
    <w:rsid w:val="000A4291"/>
    <w:rsid w:val="000A4376"/>
    <w:rsid w:val="000A465A"/>
    <w:rsid w:val="000A47CB"/>
    <w:rsid w:val="000A4CB1"/>
    <w:rsid w:val="000A5A0D"/>
    <w:rsid w:val="000A6F35"/>
    <w:rsid w:val="000A7696"/>
    <w:rsid w:val="000A7BAC"/>
    <w:rsid w:val="000B0C0F"/>
    <w:rsid w:val="000B10CF"/>
    <w:rsid w:val="000B1257"/>
    <w:rsid w:val="000B2510"/>
    <w:rsid w:val="000B2CBE"/>
    <w:rsid w:val="000B355C"/>
    <w:rsid w:val="000B3CD0"/>
    <w:rsid w:val="000B4730"/>
    <w:rsid w:val="000B49BD"/>
    <w:rsid w:val="000B4B74"/>
    <w:rsid w:val="000B68EF"/>
    <w:rsid w:val="000B7384"/>
    <w:rsid w:val="000B7B64"/>
    <w:rsid w:val="000B7F40"/>
    <w:rsid w:val="000C0050"/>
    <w:rsid w:val="000C0C20"/>
    <w:rsid w:val="000C4044"/>
    <w:rsid w:val="000C50ED"/>
    <w:rsid w:val="000C5FD6"/>
    <w:rsid w:val="000C6139"/>
    <w:rsid w:val="000C632E"/>
    <w:rsid w:val="000D166D"/>
    <w:rsid w:val="000D2636"/>
    <w:rsid w:val="000D34B8"/>
    <w:rsid w:val="000D3711"/>
    <w:rsid w:val="000D401A"/>
    <w:rsid w:val="000E409B"/>
    <w:rsid w:val="000E45D3"/>
    <w:rsid w:val="000E559E"/>
    <w:rsid w:val="000E6FE3"/>
    <w:rsid w:val="000E70AF"/>
    <w:rsid w:val="000E7243"/>
    <w:rsid w:val="000E7726"/>
    <w:rsid w:val="000E79C7"/>
    <w:rsid w:val="000F0C57"/>
    <w:rsid w:val="000F15A8"/>
    <w:rsid w:val="000F18DA"/>
    <w:rsid w:val="000F1C4E"/>
    <w:rsid w:val="000F219D"/>
    <w:rsid w:val="000F36E4"/>
    <w:rsid w:val="000F4D92"/>
    <w:rsid w:val="000F602B"/>
    <w:rsid w:val="000F6FC6"/>
    <w:rsid w:val="000F78EC"/>
    <w:rsid w:val="000F7F6A"/>
    <w:rsid w:val="00100621"/>
    <w:rsid w:val="00101003"/>
    <w:rsid w:val="00103749"/>
    <w:rsid w:val="0010486A"/>
    <w:rsid w:val="00105408"/>
    <w:rsid w:val="001059EF"/>
    <w:rsid w:val="00105FCA"/>
    <w:rsid w:val="00107A0C"/>
    <w:rsid w:val="00111B58"/>
    <w:rsid w:val="00113164"/>
    <w:rsid w:val="0011444E"/>
    <w:rsid w:val="00114AD2"/>
    <w:rsid w:val="00114E81"/>
    <w:rsid w:val="00115665"/>
    <w:rsid w:val="001161B2"/>
    <w:rsid w:val="0011659D"/>
    <w:rsid w:val="00117AD7"/>
    <w:rsid w:val="0012034E"/>
    <w:rsid w:val="0012202A"/>
    <w:rsid w:val="001221A2"/>
    <w:rsid w:val="00122CC2"/>
    <w:rsid w:val="00123A40"/>
    <w:rsid w:val="00124F8F"/>
    <w:rsid w:val="00125281"/>
    <w:rsid w:val="001263A3"/>
    <w:rsid w:val="00126865"/>
    <w:rsid w:val="001274C3"/>
    <w:rsid w:val="00127ABD"/>
    <w:rsid w:val="00127FB7"/>
    <w:rsid w:val="00130B29"/>
    <w:rsid w:val="001327FF"/>
    <w:rsid w:val="001356E0"/>
    <w:rsid w:val="00136205"/>
    <w:rsid w:val="0013698F"/>
    <w:rsid w:val="00136B46"/>
    <w:rsid w:val="001409D9"/>
    <w:rsid w:val="001429FA"/>
    <w:rsid w:val="001455A6"/>
    <w:rsid w:val="00146EA1"/>
    <w:rsid w:val="001477A3"/>
    <w:rsid w:val="00147E3F"/>
    <w:rsid w:val="00151E45"/>
    <w:rsid w:val="00155F0A"/>
    <w:rsid w:val="001567B9"/>
    <w:rsid w:val="00157B95"/>
    <w:rsid w:val="00157C12"/>
    <w:rsid w:val="00157E0D"/>
    <w:rsid w:val="0016016F"/>
    <w:rsid w:val="00160864"/>
    <w:rsid w:val="00161438"/>
    <w:rsid w:val="00161741"/>
    <w:rsid w:val="00161CD5"/>
    <w:rsid w:val="001622A2"/>
    <w:rsid w:val="00162EF7"/>
    <w:rsid w:val="001641E3"/>
    <w:rsid w:val="00165F1B"/>
    <w:rsid w:val="0016659B"/>
    <w:rsid w:val="0016680C"/>
    <w:rsid w:val="00166D3F"/>
    <w:rsid w:val="001671FE"/>
    <w:rsid w:val="00167A8E"/>
    <w:rsid w:val="00172629"/>
    <w:rsid w:val="001727BF"/>
    <w:rsid w:val="00172E97"/>
    <w:rsid w:val="0017349E"/>
    <w:rsid w:val="00174B99"/>
    <w:rsid w:val="00175CD2"/>
    <w:rsid w:val="00176131"/>
    <w:rsid w:val="001762E1"/>
    <w:rsid w:val="0017693E"/>
    <w:rsid w:val="00180AB8"/>
    <w:rsid w:val="001816FA"/>
    <w:rsid w:val="0018298B"/>
    <w:rsid w:val="00183266"/>
    <w:rsid w:val="001866E8"/>
    <w:rsid w:val="00186DD2"/>
    <w:rsid w:val="001872EF"/>
    <w:rsid w:val="00192546"/>
    <w:rsid w:val="00194694"/>
    <w:rsid w:val="001951E4"/>
    <w:rsid w:val="0019548C"/>
    <w:rsid w:val="00195530"/>
    <w:rsid w:val="00196B11"/>
    <w:rsid w:val="00197C9F"/>
    <w:rsid w:val="00197E52"/>
    <w:rsid w:val="001A059E"/>
    <w:rsid w:val="001A0608"/>
    <w:rsid w:val="001A1FC6"/>
    <w:rsid w:val="001A2628"/>
    <w:rsid w:val="001A2D08"/>
    <w:rsid w:val="001A363D"/>
    <w:rsid w:val="001A36F3"/>
    <w:rsid w:val="001A3F78"/>
    <w:rsid w:val="001A42E6"/>
    <w:rsid w:val="001A4321"/>
    <w:rsid w:val="001A543C"/>
    <w:rsid w:val="001A68BC"/>
    <w:rsid w:val="001A7BB9"/>
    <w:rsid w:val="001B04C4"/>
    <w:rsid w:val="001B0D5A"/>
    <w:rsid w:val="001B228A"/>
    <w:rsid w:val="001B2B86"/>
    <w:rsid w:val="001B2EC8"/>
    <w:rsid w:val="001B35E4"/>
    <w:rsid w:val="001B38F1"/>
    <w:rsid w:val="001B3F42"/>
    <w:rsid w:val="001B4B40"/>
    <w:rsid w:val="001B54B3"/>
    <w:rsid w:val="001B5D32"/>
    <w:rsid w:val="001C0DAE"/>
    <w:rsid w:val="001C0FA8"/>
    <w:rsid w:val="001C0FC3"/>
    <w:rsid w:val="001C126B"/>
    <w:rsid w:val="001C3217"/>
    <w:rsid w:val="001C525E"/>
    <w:rsid w:val="001C58D6"/>
    <w:rsid w:val="001C68E3"/>
    <w:rsid w:val="001C7203"/>
    <w:rsid w:val="001D0030"/>
    <w:rsid w:val="001D22AA"/>
    <w:rsid w:val="001D3052"/>
    <w:rsid w:val="001D470E"/>
    <w:rsid w:val="001D4A7A"/>
    <w:rsid w:val="001D7176"/>
    <w:rsid w:val="001E0D8E"/>
    <w:rsid w:val="001E0E28"/>
    <w:rsid w:val="001E458D"/>
    <w:rsid w:val="001E47DD"/>
    <w:rsid w:val="001E4A00"/>
    <w:rsid w:val="001E526E"/>
    <w:rsid w:val="001E52F0"/>
    <w:rsid w:val="001E5748"/>
    <w:rsid w:val="001E576A"/>
    <w:rsid w:val="001F0AB9"/>
    <w:rsid w:val="001F11FC"/>
    <w:rsid w:val="001F19C9"/>
    <w:rsid w:val="001F1D70"/>
    <w:rsid w:val="001F207B"/>
    <w:rsid w:val="001F20CB"/>
    <w:rsid w:val="001F20EE"/>
    <w:rsid w:val="001F407B"/>
    <w:rsid w:val="001F4CA0"/>
    <w:rsid w:val="001F57E6"/>
    <w:rsid w:val="001F693C"/>
    <w:rsid w:val="001F6D7C"/>
    <w:rsid w:val="001F77E0"/>
    <w:rsid w:val="001F7D8B"/>
    <w:rsid w:val="00200D4A"/>
    <w:rsid w:val="00201B0D"/>
    <w:rsid w:val="00202011"/>
    <w:rsid w:val="00202A85"/>
    <w:rsid w:val="0020376E"/>
    <w:rsid w:val="002058EF"/>
    <w:rsid w:val="002072C9"/>
    <w:rsid w:val="00207EE7"/>
    <w:rsid w:val="002108CF"/>
    <w:rsid w:val="00211BE1"/>
    <w:rsid w:val="00213986"/>
    <w:rsid w:val="00214058"/>
    <w:rsid w:val="002150E3"/>
    <w:rsid w:val="002155A2"/>
    <w:rsid w:val="00215F0D"/>
    <w:rsid w:val="00216650"/>
    <w:rsid w:val="0021784F"/>
    <w:rsid w:val="00220161"/>
    <w:rsid w:val="00220F7B"/>
    <w:rsid w:val="00223645"/>
    <w:rsid w:val="0022375A"/>
    <w:rsid w:val="00223BE6"/>
    <w:rsid w:val="00223C31"/>
    <w:rsid w:val="00224F94"/>
    <w:rsid w:val="00225688"/>
    <w:rsid w:val="00225BE1"/>
    <w:rsid w:val="002260D4"/>
    <w:rsid w:val="00226E79"/>
    <w:rsid w:val="00230594"/>
    <w:rsid w:val="0023120D"/>
    <w:rsid w:val="002337D1"/>
    <w:rsid w:val="00234B2B"/>
    <w:rsid w:val="0023517C"/>
    <w:rsid w:val="002404C9"/>
    <w:rsid w:val="0024109D"/>
    <w:rsid w:val="00241CA5"/>
    <w:rsid w:val="00242BCF"/>
    <w:rsid w:val="00242D27"/>
    <w:rsid w:val="00243CD1"/>
    <w:rsid w:val="00243E2E"/>
    <w:rsid w:val="00244131"/>
    <w:rsid w:val="00245F14"/>
    <w:rsid w:val="002466DD"/>
    <w:rsid w:val="00247177"/>
    <w:rsid w:val="00250DDE"/>
    <w:rsid w:val="00251838"/>
    <w:rsid w:val="00251C13"/>
    <w:rsid w:val="00253231"/>
    <w:rsid w:val="00254F17"/>
    <w:rsid w:val="0025667E"/>
    <w:rsid w:val="002576C9"/>
    <w:rsid w:val="00263D68"/>
    <w:rsid w:val="00264B1D"/>
    <w:rsid w:val="00265F43"/>
    <w:rsid w:val="00266CFA"/>
    <w:rsid w:val="0027027C"/>
    <w:rsid w:val="0027079C"/>
    <w:rsid w:val="00270BF0"/>
    <w:rsid w:val="00272ABC"/>
    <w:rsid w:val="00274FFD"/>
    <w:rsid w:val="00275D6F"/>
    <w:rsid w:val="002769FD"/>
    <w:rsid w:val="002774BE"/>
    <w:rsid w:val="0027791D"/>
    <w:rsid w:val="00280A74"/>
    <w:rsid w:val="00280BE3"/>
    <w:rsid w:val="00280FCD"/>
    <w:rsid w:val="002810DB"/>
    <w:rsid w:val="002812A4"/>
    <w:rsid w:val="002819C0"/>
    <w:rsid w:val="00281C0F"/>
    <w:rsid w:val="002823F6"/>
    <w:rsid w:val="00282939"/>
    <w:rsid w:val="002832A1"/>
    <w:rsid w:val="00283501"/>
    <w:rsid w:val="00283506"/>
    <w:rsid w:val="0028542D"/>
    <w:rsid w:val="00285916"/>
    <w:rsid w:val="00285E0B"/>
    <w:rsid w:val="002865EE"/>
    <w:rsid w:val="00287672"/>
    <w:rsid w:val="00287B8B"/>
    <w:rsid w:val="00287FE5"/>
    <w:rsid w:val="00292716"/>
    <w:rsid w:val="00292C2F"/>
    <w:rsid w:val="00293F8C"/>
    <w:rsid w:val="002951C5"/>
    <w:rsid w:val="002957FA"/>
    <w:rsid w:val="0029623F"/>
    <w:rsid w:val="00297CF0"/>
    <w:rsid w:val="002A26CC"/>
    <w:rsid w:val="002A428C"/>
    <w:rsid w:val="002A454D"/>
    <w:rsid w:val="002A4958"/>
    <w:rsid w:val="002A6352"/>
    <w:rsid w:val="002A77A7"/>
    <w:rsid w:val="002B0675"/>
    <w:rsid w:val="002B2B58"/>
    <w:rsid w:val="002B2FBC"/>
    <w:rsid w:val="002B327D"/>
    <w:rsid w:val="002B3B4C"/>
    <w:rsid w:val="002B3E07"/>
    <w:rsid w:val="002B408F"/>
    <w:rsid w:val="002B418E"/>
    <w:rsid w:val="002B50E5"/>
    <w:rsid w:val="002B5D3B"/>
    <w:rsid w:val="002B6094"/>
    <w:rsid w:val="002B7D1D"/>
    <w:rsid w:val="002C0BFB"/>
    <w:rsid w:val="002C1340"/>
    <w:rsid w:val="002C2240"/>
    <w:rsid w:val="002C2922"/>
    <w:rsid w:val="002C3F59"/>
    <w:rsid w:val="002C4EC3"/>
    <w:rsid w:val="002C4F55"/>
    <w:rsid w:val="002C53A0"/>
    <w:rsid w:val="002C55DA"/>
    <w:rsid w:val="002C7BCA"/>
    <w:rsid w:val="002D003F"/>
    <w:rsid w:val="002D061D"/>
    <w:rsid w:val="002D1F0D"/>
    <w:rsid w:val="002D2601"/>
    <w:rsid w:val="002D3C45"/>
    <w:rsid w:val="002D4705"/>
    <w:rsid w:val="002D49EE"/>
    <w:rsid w:val="002D545C"/>
    <w:rsid w:val="002D6A89"/>
    <w:rsid w:val="002D6D53"/>
    <w:rsid w:val="002D72E5"/>
    <w:rsid w:val="002E07B8"/>
    <w:rsid w:val="002E0D6C"/>
    <w:rsid w:val="002E2BAC"/>
    <w:rsid w:val="002E4851"/>
    <w:rsid w:val="002E52DB"/>
    <w:rsid w:val="002E67F7"/>
    <w:rsid w:val="002E7A72"/>
    <w:rsid w:val="002F0ED0"/>
    <w:rsid w:val="002F11C8"/>
    <w:rsid w:val="002F1B10"/>
    <w:rsid w:val="002F1F0A"/>
    <w:rsid w:val="002F31D7"/>
    <w:rsid w:val="002F33F6"/>
    <w:rsid w:val="002F6929"/>
    <w:rsid w:val="002F7965"/>
    <w:rsid w:val="002F7DA2"/>
    <w:rsid w:val="00301F1A"/>
    <w:rsid w:val="00306342"/>
    <w:rsid w:val="0030664B"/>
    <w:rsid w:val="00306A5C"/>
    <w:rsid w:val="00307F98"/>
    <w:rsid w:val="0031060F"/>
    <w:rsid w:val="0031149F"/>
    <w:rsid w:val="003122C9"/>
    <w:rsid w:val="003128A1"/>
    <w:rsid w:val="00312C44"/>
    <w:rsid w:val="003132B5"/>
    <w:rsid w:val="00313337"/>
    <w:rsid w:val="00313633"/>
    <w:rsid w:val="003138C6"/>
    <w:rsid w:val="00315A53"/>
    <w:rsid w:val="00320692"/>
    <w:rsid w:val="003208C5"/>
    <w:rsid w:val="00321B5E"/>
    <w:rsid w:val="00323322"/>
    <w:rsid w:val="00324B58"/>
    <w:rsid w:val="00324CCC"/>
    <w:rsid w:val="00326EF5"/>
    <w:rsid w:val="00327DFF"/>
    <w:rsid w:val="003316FA"/>
    <w:rsid w:val="0033235B"/>
    <w:rsid w:val="00332956"/>
    <w:rsid w:val="00333291"/>
    <w:rsid w:val="003343F6"/>
    <w:rsid w:val="0033465C"/>
    <w:rsid w:val="00335494"/>
    <w:rsid w:val="00337735"/>
    <w:rsid w:val="003404EE"/>
    <w:rsid w:val="003424CE"/>
    <w:rsid w:val="0034331C"/>
    <w:rsid w:val="00343678"/>
    <w:rsid w:val="00343B19"/>
    <w:rsid w:val="0034583E"/>
    <w:rsid w:val="003459C0"/>
    <w:rsid w:val="00346B11"/>
    <w:rsid w:val="00347314"/>
    <w:rsid w:val="0034750F"/>
    <w:rsid w:val="003475AD"/>
    <w:rsid w:val="00352477"/>
    <w:rsid w:val="003533CA"/>
    <w:rsid w:val="0035495B"/>
    <w:rsid w:val="00356208"/>
    <w:rsid w:val="003566D4"/>
    <w:rsid w:val="00357055"/>
    <w:rsid w:val="003573D6"/>
    <w:rsid w:val="00357944"/>
    <w:rsid w:val="00360518"/>
    <w:rsid w:val="00360917"/>
    <w:rsid w:val="0036253B"/>
    <w:rsid w:val="003634DB"/>
    <w:rsid w:val="00365F5E"/>
    <w:rsid w:val="003713BA"/>
    <w:rsid w:val="003713E8"/>
    <w:rsid w:val="00372E0D"/>
    <w:rsid w:val="00373C53"/>
    <w:rsid w:val="00375D38"/>
    <w:rsid w:val="0038425D"/>
    <w:rsid w:val="00385DC8"/>
    <w:rsid w:val="00385F43"/>
    <w:rsid w:val="003861D9"/>
    <w:rsid w:val="00386338"/>
    <w:rsid w:val="00386948"/>
    <w:rsid w:val="00390847"/>
    <w:rsid w:val="00390BFE"/>
    <w:rsid w:val="00392E81"/>
    <w:rsid w:val="00392F24"/>
    <w:rsid w:val="00397783"/>
    <w:rsid w:val="003977C1"/>
    <w:rsid w:val="00397B85"/>
    <w:rsid w:val="003A0959"/>
    <w:rsid w:val="003A1338"/>
    <w:rsid w:val="003A1954"/>
    <w:rsid w:val="003A2DFB"/>
    <w:rsid w:val="003A4187"/>
    <w:rsid w:val="003A716F"/>
    <w:rsid w:val="003B06B7"/>
    <w:rsid w:val="003B08F6"/>
    <w:rsid w:val="003B2235"/>
    <w:rsid w:val="003B430C"/>
    <w:rsid w:val="003B441E"/>
    <w:rsid w:val="003B5F3E"/>
    <w:rsid w:val="003B71F3"/>
    <w:rsid w:val="003C0671"/>
    <w:rsid w:val="003C0F8D"/>
    <w:rsid w:val="003C1AC9"/>
    <w:rsid w:val="003C599E"/>
    <w:rsid w:val="003C6593"/>
    <w:rsid w:val="003C6790"/>
    <w:rsid w:val="003C6D9E"/>
    <w:rsid w:val="003C761C"/>
    <w:rsid w:val="003C77CD"/>
    <w:rsid w:val="003C7D22"/>
    <w:rsid w:val="003D0AEF"/>
    <w:rsid w:val="003D1C86"/>
    <w:rsid w:val="003D1D1E"/>
    <w:rsid w:val="003D221E"/>
    <w:rsid w:val="003D2278"/>
    <w:rsid w:val="003D2C20"/>
    <w:rsid w:val="003D30C5"/>
    <w:rsid w:val="003D38E2"/>
    <w:rsid w:val="003D4322"/>
    <w:rsid w:val="003D4C59"/>
    <w:rsid w:val="003D4EF4"/>
    <w:rsid w:val="003D51FD"/>
    <w:rsid w:val="003D70A8"/>
    <w:rsid w:val="003D7808"/>
    <w:rsid w:val="003E0C36"/>
    <w:rsid w:val="003E2C6E"/>
    <w:rsid w:val="003E3074"/>
    <w:rsid w:val="003E3530"/>
    <w:rsid w:val="003E577A"/>
    <w:rsid w:val="003E6D65"/>
    <w:rsid w:val="003E7248"/>
    <w:rsid w:val="003E7CF6"/>
    <w:rsid w:val="003F0032"/>
    <w:rsid w:val="003F08DB"/>
    <w:rsid w:val="003F10AE"/>
    <w:rsid w:val="003F172D"/>
    <w:rsid w:val="003F27E9"/>
    <w:rsid w:val="003F342A"/>
    <w:rsid w:val="003F37AF"/>
    <w:rsid w:val="003F69B4"/>
    <w:rsid w:val="003F74FC"/>
    <w:rsid w:val="004005E9"/>
    <w:rsid w:val="00400A54"/>
    <w:rsid w:val="00402CC0"/>
    <w:rsid w:val="004037C0"/>
    <w:rsid w:val="0040441E"/>
    <w:rsid w:val="0040496C"/>
    <w:rsid w:val="004058FC"/>
    <w:rsid w:val="0040652F"/>
    <w:rsid w:val="00407749"/>
    <w:rsid w:val="004103EF"/>
    <w:rsid w:val="0041542E"/>
    <w:rsid w:val="00416397"/>
    <w:rsid w:val="00417496"/>
    <w:rsid w:val="00417D44"/>
    <w:rsid w:val="00417DE4"/>
    <w:rsid w:val="004202CE"/>
    <w:rsid w:val="004215BB"/>
    <w:rsid w:val="0042197B"/>
    <w:rsid w:val="00422381"/>
    <w:rsid w:val="00423178"/>
    <w:rsid w:val="004244CA"/>
    <w:rsid w:val="00425B82"/>
    <w:rsid w:val="00425EE9"/>
    <w:rsid w:val="00426626"/>
    <w:rsid w:val="004270DC"/>
    <w:rsid w:val="00427E12"/>
    <w:rsid w:val="004300A7"/>
    <w:rsid w:val="00430D0D"/>
    <w:rsid w:val="00430E7D"/>
    <w:rsid w:val="0043112B"/>
    <w:rsid w:val="00431BC7"/>
    <w:rsid w:val="00432FC1"/>
    <w:rsid w:val="0043300D"/>
    <w:rsid w:val="00433305"/>
    <w:rsid w:val="0043391B"/>
    <w:rsid w:val="00433F1F"/>
    <w:rsid w:val="00435272"/>
    <w:rsid w:val="0043741D"/>
    <w:rsid w:val="00437680"/>
    <w:rsid w:val="004376A0"/>
    <w:rsid w:val="00440653"/>
    <w:rsid w:val="004410D8"/>
    <w:rsid w:val="0044229E"/>
    <w:rsid w:val="00442410"/>
    <w:rsid w:val="00444DED"/>
    <w:rsid w:val="00444E8D"/>
    <w:rsid w:val="004453FF"/>
    <w:rsid w:val="00445C23"/>
    <w:rsid w:val="004503E6"/>
    <w:rsid w:val="00451115"/>
    <w:rsid w:val="004526E8"/>
    <w:rsid w:val="0045283D"/>
    <w:rsid w:val="004558EF"/>
    <w:rsid w:val="00456AF6"/>
    <w:rsid w:val="00460392"/>
    <w:rsid w:val="0046040D"/>
    <w:rsid w:val="0046069A"/>
    <w:rsid w:val="00460E80"/>
    <w:rsid w:val="00461AD5"/>
    <w:rsid w:val="00465B3A"/>
    <w:rsid w:val="004669B2"/>
    <w:rsid w:val="00471E90"/>
    <w:rsid w:val="00472446"/>
    <w:rsid w:val="00473EF4"/>
    <w:rsid w:val="00474111"/>
    <w:rsid w:val="004744BF"/>
    <w:rsid w:val="0047497D"/>
    <w:rsid w:val="00475F4B"/>
    <w:rsid w:val="00476D39"/>
    <w:rsid w:val="00476FA8"/>
    <w:rsid w:val="00477AF2"/>
    <w:rsid w:val="0048183A"/>
    <w:rsid w:val="004826A8"/>
    <w:rsid w:val="00483623"/>
    <w:rsid w:val="004857BD"/>
    <w:rsid w:val="0048599E"/>
    <w:rsid w:val="00487EC1"/>
    <w:rsid w:val="00490153"/>
    <w:rsid w:val="0049154D"/>
    <w:rsid w:val="00491E32"/>
    <w:rsid w:val="00492C71"/>
    <w:rsid w:val="00493F04"/>
    <w:rsid w:val="004947FD"/>
    <w:rsid w:val="004A1B21"/>
    <w:rsid w:val="004A316E"/>
    <w:rsid w:val="004A3B89"/>
    <w:rsid w:val="004A40C3"/>
    <w:rsid w:val="004A6A41"/>
    <w:rsid w:val="004B1E61"/>
    <w:rsid w:val="004B52EE"/>
    <w:rsid w:val="004B5F6F"/>
    <w:rsid w:val="004B6508"/>
    <w:rsid w:val="004B6DBF"/>
    <w:rsid w:val="004B7A00"/>
    <w:rsid w:val="004C1354"/>
    <w:rsid w:val="004C272F"/>
    <w:rsid w:val="004C3B2E"/>
    <w:rsid w:val="004C3F05"/>
    <w:rsid w:val="004C4517"/>
    <w:rsid w:val="004C4927"/>
    <w:rsid w:val="004C5777"/>
    <w:rsid w:val="004C64B8"/>
    <w:rsid w:val="004C68A6"/>
    <w:rsid w:val="004D038D"/>
    <w:rsid w:val="004D0394"/>
    <w:rsid w:val="004D092B"/>
    <w:rsid w:val="004D100A"/>
    <w:rsid w:val="004D11CD"/>
    <w:rsid w:val="004D1618"/>
    <w:rsid w:val="004D1774"/>
    <w:rsid w:val="004D19F7"/>
    <w:rsid w:val="004D47EB"/>
    <w:rsid w:val="004D4997"/>
    <w:rsid w:val="004D5CD9"/>
    <w:rsid w:val="004D7B11"/>
    <w:rsid w:val="004E269E"/>
    <w:rsid w:val="004E2C92"/>
    <w:rsid w:val="004E3264"/>
    <w:rsid w:val="004E348E"/>
    <w:rsid w:val="004E402C"/>
    <w:rsid w:val="004E48F8"/>
    <w:rsid w:val="004E5CAB"/>
    <w:rsid w:val="004F0007"/>
    <w:rsid w:val="004F0A72"/>
    <w:rsid w:val="004F174C"/>
    <w:rsid w:val="004F20E8"/>
    <w:rsid w:val="004F4569"/>
    <w:rsid w:val="004F758A"/>
    <w:rsid w:val="005008E4"/>
    <w:rsid w:val="00501596"/>
    <w:rsid w:val="00501EF7"/>
    <w:rsid w:val="00502996"/>
    <w:rsid w:val="005037A9"/>
    <w:rsid w:val="00503A7D"/>
    <w:rsid w:val="0050431B"/>
    <w:rsid w:val="0050604E"/>
    <w:rsid w:val="005068DC"/>
    <w:rsid w:val="00510417"/>
    <w:rsid w:val="00511C61"/>
    <w:rsid w:val="00511CBA"/>
    <w:rsid w:val="00514C6D"/>
    <w:rsid w:val="005159B1"/>
    <w:rsid w:val="00515D07"/>
    <w:rsid w:val="005176D0"/>
    <w:rsid w:val="00517E95"/>
    <w:rsid w:val="00520956"/>
    <w:rsid w:val="0052114D"/>
    <w:rsid w:val="005212EE"/>
    <w:rsid w:val="00523C2F"/>
    <w:rsid w:val="00523C94"/>
    <w:rsid w:val="00523E1F"/>
    <w:rsid w:val="00524B01"/>
    <w:rsid w:val="005260DF"/>
    <w:rsid w:val="0052750B"/>
    <w:rsid w:val="0053003C"/>
    <w:rsid w:val="0053046C"/>
    <w:rsid w:val="00531981"/>
    <w:rsid w:val="00532FC4"/>
    <w:rsid w:val="00533DE6"/>
    <w:rsid w:val="00534C40"/>
    <w:rsid w:val="005419FF"/>
    <w:rsid w:val="00541ACE"/>
    <w:rsid w:val="00543075"/>
    <w:rsid w:val="00545E06"/>
    <w:rsid w:val="005465DC"/>
    <w:rsid w:val="0054752E"/>
    <w:rsid w:val="00550EC8"/>
    <w:rsid w:val="00551A0E"/>
    <w:rsid w:val="00551FA7"/>
    <w:rsid w:val="005523BB"/>
    <w:rsid w:val="005525E1"/>
    <w:rsid w:val="0055372C"/>
    <w:rsid w:val="00555117"/>
    <w:rsid w:val="00555657"/>
    <w:rsid w:val="0055709E"/>
    <w:rsid w:val="005573EB"/>
    <w:rsid w:val="0055786F"/>
    <w:rsid w:val="0055797A"/>
    <w:rsid w:val="00557BD2"/>
    <w:rsid w:val="005609C8"/>
    <w:rsid w:val="005609EF"/>
    <w:rsid w:val="005612E4"/>
    <w:rsid w:val="005613B5"/>
    <w:rsid w:val="005654F7"/>
    <w:rsid w:val="00565503"/>
    <w:rsid w:val="00565D92"/>
    <w:rsid w:val="005703F4"/>
    <w:rsid w:val="005731F7"/>
    <w:rsid w:val="005762A9"/>
    <w:rsid w:val="00576485"/>
    <w:rsid w:val="00576F53"/>
    <w:rsid w:val="005776AA"/>
    <w:rsid w:val="0057793F"/>
    <w:rsid w:val="00581ABE"/>
    <w:rsid w:val="005826FC"/>
    <w:rsid w:val="00584784"/>
    <w:rsid w:val="00584B54"/>
    <w:rsid w:val="005869AB"/>
    <w:rsid w:val="005908A9"/>
    <w:rsid w:val="00590D81"/>
    <w:rsid w:val="00591095"/>
    <w:rsid w:val="00592BF0"/>
    <w:rsid w:val="00593169"/>
    <w:rsid w:val="005932FC"/>
    <w:rsid w:val="00593469"/>
    <w:rsid w:val="00594A0F"/>
    <w:rsid w:val="00596243"/>
    <w:rsid w:val="00596B6D"/>
    <w:rsid w:val="00596F56"/>
    <w:rsid w:val="0059708D"/>
    <w:rsid w:val="0059783E"/>
    <w:rsid w:val="00597D84"/>
    <w:rsid w:val="00597F56"/>
    <w:rsid w:val="005A0406"/>
    <w:rsid w:val="005A123F"/>
    <w:rsid w:val="005A177B"/>
    <w:rsid w:val="005A2718"/>
    <w:rsid w:val="005A2ADB"/>
    <w:rsid w:val="005A2CE8"/>
    <w:rsid w:val="005A34E5"/>
    <w:rsid w:val="005A3545"/>
    <w:rsid w:val="005A565D"/>
    <w:rsid w:val="005A6103"/>
    <w:rsid w:val="005A6A63"/>
    <w:rsid w:val="005A6F6A"/>
    <w:rsid w:val="005A7297"/>
    <w:rsid w:val="005A7B0B"/>
    <w:rsid w:val="005A7FCA"/>
    <w:rsid w:val="005B0B16"/>
    <w:rsid w:val="005B37B2"/>
    <w:rsid w:val="005B3841"/>
    <w:rsid w:val="005B3A7C"/>
    <w:rsid w:val="005B3E67"/>
    <w:rsid w:val="005B525E"/>
    <w:rsid w:val="005B59CA"/>
    <w:rsid w:val="005C08CC"/>
    <w:rsid w:val="005C11A1"/>
    <w:rsid w:val="005C236D"/>
    <w:rsid w:val="005C2D61"/>
    <w:rsid w:val="005C38C0"/>
    <w:rsid w:val="005C7789"/>
    <w:rsid w:val="005D1A84"/>
    <w:rsid w:val="005D22AD"/>
    <w:rsid w:val="005D29EF"/>
    <w:rsid w:val="005D2A2D"/>
    <w:rsid w:val="005D3030"/>
    <w:rsid w:val="005D357D"/>
    <w:rsid w:val="005D5867"/>
    <w:rsid w:val="005D6C7C"/>
    <w:rsid w:val="005D6FB4"/>
    <w:rsid w:val="005D7432"/>
    <w:rsid w:val="005E14D9"/>
    <w:rsid w:val="005E1CEA"/>
    <w:rsid w:val="005E213E"/>
    <w:rsid w:val="005E39A2"/>
    <w:rsid w:val="005E3BAB"/>
    <w:rsid w:val="005E441B"/>
    <w:rsid w:val="005E4C95"/>
    <w:rsid w:val="005E4FA6"/>
    <w:rsid w:val="005E5D88"/>
    <w:rsid w:val="005E5E1A"/>
    <w:rsid w:val="005E6958"/>
    <w:rsid w:val="005E6B4D"/>
    <w:rsid w:val="005E7FBC"/>
    <w:rsid w:val="005F0175"/>
    <w:rsid w:val="005F264E"/>
    <w:rsid w:val="005F440F"/>
    <w:rsid w:val="005F4D74"/>
    <w:rsid w:val="005F7319"/>
    <w:rsid w:val="005F73A6"/>
    <w:rsid w:val="005F75DB"/>
    <w:rsid w:val="005F7D58"/>
    <w:rsid w:val="00600CE3"/>
    <w:rsid w:val="006013DB"/>
    <w:rsid w:val="00603F77"/>
    <w:rsid w:val="00606D75"/>
    <w:rsid w:val="00607E7F"/>
    <w:rsid w:val="00610686"/>
    <w:rsid w:val="00612031"/>
    <w:rsid w:val="00613DC7"/>
    <w:rsid w:val="00615A1B"/>
    <w:rsid w:val="00616B0A"/>
    <w:rsid w:val="006171D7"/>
    <w:rsid w:val="00617DD1"/>
    <w:rsid w:val="00620D52"/>
    <w:rsid w:val="0062104C"/>
    <w:rsid w:val="00621735"/>
    <w:rsid w:val="00623AFE"/>
    <w:rsid w:val="00625B28"/>
    <w:rsid w:val="006268E5"/>
    <w:rsid w:val="00626BAB"/>
    <w:rsid w:val="00627B0B"/>
    <w:rsid w:val="00631072"/>
    <w:rsid w:val="006319A3"/>
    <w:rsid w:val="00634C38"/>
    <w:rsid w:val="00635982"/>
    <w:rsid w:val="006366B7"/>
    <w:rsid w:val="006375CC"/>
    <w:rsid w:val="00643908"/>
    <w:rsid w:val="0064450D"/>
    <w:rsid w:val="0064678B"/>
    <w:rsid w:val="00646CFD"/>
    <w:rsid w:val="00647E07"/>
    <w:rsid w:val="00653E15"/>
    <w:rsid w:val="006551C5"/>
    <w:rsid w:val="006554B4"/>
    <w:rsid w:val="00656215"/>
    <w:rsid w:val="00657E39"/>
    <w:rsid w:val="006602D9"/>
    <w:rsid w:val="006606D9"/>
    <w:rsid w:val="006608E9"/>
    <w:rsid w:val="00660DA5"/>
    <w:rsid w:val="006623E2"/>
    <w:rsid w:val="006637D5"/>
    <w:rsid w:val="00667936"/>
    <w:rsid w:val="0067039C"/>
    <w:rsid w:val="0067041C"/>
    <w:rsid w:val="0067157E"/>
    <w:rsid w:val="00672459"/>
    <w:rsid w:val="00672789"/>
    <w:rsid w:val="00673CE6"/>
    <w:rsid w:val="00674AD3"/>
    <w:rsid w:val="0067578C"/>
    <w:rsid w:val="006768D9"/>
    <w:rsid w:val="006778B1"/>
    <w:rsid w:val="0068019D"/>
    <w:rsid w:val="006802B5"/>
    <w:rsid w:val="0068225D"/>
    <w:rsid w:val="00683B12"/>
    <w:rsid w:val="006867E2"/>
    <w:rsid w:val="00691A61"/>
    <w:rsid w:val="00692194"/>
    <w:rsid w:val="00692D52"/>
    <w:rsid w:val="00694FDC"/>
    <w:rsid w:val="006952B7"/>
    <w:rsid w:val="00695820"/>
    <w:rsid w:val="006A0C6C"/>
    <w:rsid w:val="006A4AC4"/>
    <w:rsid w:val="006A4BCC"/>
    <w:rsid w:val="006A6CCB"/>
    <w:rsid w:val="006A6D81"/>
    <w:rsid w:val="006B0023"/>
    <w:rsid w:val="006B00AC"/>
    <w:rsid w:val="006B10E6"/>
    <w:rsid w:val="006B180D"/>
    <w:rsid w:val="006B36D5"/>
    <w:rsid w:val="006B4C7E"/>
    <w:rsid w:val="006B5F24"/>
    <w:rsid w:val="006B7B79"/>
    <w:rsid w:val="006B7FA8"/>
    <w:rsid w:val="006C0EFE"/>
    <w:rsid w:val="006C2063"/>
    <w:rsid w:val="006C2A45"/>
    <w:rsid w:val="006C5BD1"/>
    <w:rsid w:val="006C6D77"/>
    <w:rsid w:val="006C7E90"/>
    <w:rsid w:val="006D15CB"/>
    <w:rsid w:val="006D1F32"/>
    <w:rsid w:val="006D2D13"/>
    <w:rsid w:val="006D3690"/>
    <w:rsid w:val="006D4BDA"/>
    <w:rsid w:val="006D4DE6"/>
    <w:rsid w:val="006D4F30"/>
    <w:rsid w:val="006D5229"/>
    <w:rsid w:val="006D56AD"/>
    <w:rsid w:val="006D5790"/>
    <w:rsid w:val="006D58C2"/>
    <w:rsid w:val="006D5FE7"/>
    <w:rsid w:val="006D64DB"/>
    <w:rsid w:val="006E0AD3"/>
    <w:rsid w:val="006E1159"/>
    <w:rsid w:val="006E1D6D"/>
    <w:rsid w:val="006E2247"/>
    <w:rsid w:val="006E2695"/>
    <w:rsid w:val="006E270B"/>
    <w:rsid w:val="006E346C"/>
    <w:rsid w:val="006E3480"/>
    <w:rsid w:val="006E407A"/>
    <w:rsid w:val="006E5BB4"/>
    <w:rsid w:val="006E65B4"/>
    <w:rsid w:val="006E771B"/>
    <w:rsid w:val="006F1079"/>
    <w:rsid w:val="006F1A6F"/>
    <w:rsid w:val="006F2AB2"/>
    <w:rsid w:val="006F398C"/>
    <w:rsid w:val="006F3CB7"/>
    <w:rsid w:val="006F3F5F"/>
    <w:rsid w:val="006F4AD9"/>
    <w:rsid w:val="006F5386"/>
    <w:rsid w:val="006F53B5"/>
    <w:rsid w:val="006F667E"/>
    <w:rsid w:val="006F7A35"/>
    <w:rsid w:val="00700ADF"/>
    <w:rsid w:val="0070118D"/>
    <w:rsid w:val="007012F7"/>
    <w:rsid w:val="00701700"/>
    <w:rsid w:val="00701E49"/>
    <w:rsid w:val="0070223E"/>
    <w:rsid w:val="00707038"/>
    <w:rsid w:val="00710011"/>
    <w:rsid w:val="007101A6"/>
    <w:rsid w:val="00711195"/>
    <w:rsid w:val="0071369D"/>
    <w:rsid w:val="00714480"/>
    <w:rsid w:val="00714754"/>
    <w:rsid w:val="00715C5E"/>
    <w:rsid w:val="00716EC1"/>
    <w:rsid w:val="0071790A"/>
    <w:rsid w:val="0072155C"/>
    <w:rsid w:val="007221E7"/>
    <w:rsid w:val="007223B7"/>
    <w:rsid w:val="007227CD"/>
    <w:rsid w:val="0072529C"/>
    <w:rsid w:val="00725448"/>
    <w:rsid w:val="00725D49"/>
    <w:rsid w:val="00727BBE"/>
    <w:rsid w:val="007300FC"/>
    <w:rsid w:val="00730A3D"/>
    <w:rsid w:val="007326D7"/>
    <w:rsid w:val="0073362D"/>
    <w:rsid w:val="007336F8"/>
    <w:rsid w:val="007358FC"/>
    <w:rsid w:val="00735929"/>
    <w:rsid w:val="00735FCF"/>
    <w:rsid w:val="0073730A"/>
    <w:rsid w:val="007373F3"/>
    <w:rsid w:val="00737DED"/>
    <w:rsid w:val="00740698"/>
    <w:rsid w:val="007417B9"/>
    <w:rsid w:val="00742632"/>
    <w:rsid w:val="0074309B"/>
    <w:rsid w:val="007431CF"/>
    <w:rsid w:val="00743601"/>
    <w:rsid w:val="0074564D"/>
    <w:rsid w:val="00746104"/>
    <w:rsid w:val="00747242"/>
    <w:rsid w:val="00747D92"/>
    <w:rsid w:val="007504EB"/>
    <w:rsid w:val="00750B3B"/>
    <w:rsid w:val="00751255"/>
    <w:rsid w:val="00754018"/>
    <w:rsid w:val="00754173"/>
    <w:rsid w:val="00754EA6"/>
    <w:rsid w:val="00755AAE"/>
    <w:rsid w:val="007575B4"/>
    <w:rsid w:val="00765C20"/>
    <w:rsid w:val="00766120"/>
    <w:rsid w:val="00767162"/>
    <w:rsid w:val="00770CD0"/>
    <w:rsid w:val="00770F4D"/>
    <w:rsid w:val="0077235E"/>
    <w:rsid w:val="00773ED2"/>
    <w:rsid w:val="00774CD1"/>
    <w:rsid w:val="00775E35"/>
    <w:rsid w:val="00775F56"/>
    <w:rsid w:val="00780825"/>
    <w:rsid w:val="00780CB8"/>
    <w:rsid w:val="00780F57"/>
    <w:rsid w:val="0078277A"/>
    <w:rsid w:val="0078328F"/>
    <w:rsid w:val="0078338E"/>
    <w:rsid w:val="007848B6"/>
    <w:rsid w:val="00786D9C"/>
    <w:rsid w:val="00787042"/>
    <w:rsid w:val="0078745D"/>
    <w:rsid w:val="00787731"/>
    <w:rsid w:val="00791FBF"/>
    <w:rsid w:val="0079290C"/>
    <w:rsid w:val="00792AD4"/>
    <w:rsid w:val="0079362A"/>
    <w:rsid w:val="00795DC5"/>
    <w:rsid w:val="0079610F"/>
    <w:rsid w:val="00796B4F"/>
    <w:rsid w:val="00797517"/>
    <w:rsid w:val="007975D6"/>
    <w:rsid w:val="007A010E"/>
    <w:rsid w:val="007A0A9B"/>
    <w:rsid w:val="007A1240"/>
    <w:rsid w:val="007A19A6"/>
    <w:rsid w:val="007A284D"/>
    <w:rsid w:val="007A2866"/>
    <w:rsid w:val="007A28BA"/>
    <w:rsid w:val="007A2A73"/>
    <w:rsid w:val="007A35A8"/>
    <w:rsid w:val="007A5E28"/>
    <w:rsid w:val="007A74C8"/>
    <w:rsid w:val="007A78CC"/>
    <w:rsid w:val="007B0AFF"/>
    <w:rsid w:val="007B0E8E"/>
    <w:rsid w:val="007B1A0E"/>
    <w:rsid w:val="007B1AF8"/>
    <w:rsid w:val="007B252A"/>
    <w:rsid w:val="007B55DE"/>
    <w:rsid w:val="007B5754"/>
    <w:rsid w:val="007B5D21"/>
    <w:rsid w:val="007B7B46"/>
    <w:rsid w:val="007C0306"/>
    <w:rsid w:val="007C1495"/>
    <w:rsid w:val="007C22E0"/>
    <w:rsid w:val="007C289A"/>
    <w:rsid w:val="007C2BB2"/>
    <w:rsid w:val="007C2FA9"/>
    <w:rsid w:val="007C3CFF"/>
    <w:rsid w:val="007C3E2F"/>
    <w:rsid w:val="007C6084"/>
    <w:rsid w:val="007D1530"/>
    <w:rsid w:val="007D1BC9"/>
    <w:rsid w:val="007D330C"/>
    <w:rsid w:val="007D48C5"/>
    <w:rsid w:val="007D630D"/>
    <w:rsid w:val="007D66E6"/>
    <w:rsid w:val="007D69C9"/>
    <w:rsid w:val="007D6F93"/>
    <w:rsid w:val="007D706E"/>
    <w:rsid w:val="007D70A4"/>
    <w:rsid w:val="007D790F"/>
    <w:rsid w:val="007E0052"/>
    <w:rsid w:val="007E0243"/>
    <w:rsid w:val="007E133D"/>
    <w:rsid w:val="007E1653"/>
    <w:rsid w:val="007E1DA3"/>
    <w:rsid w:val="007E367A"/>
    <w:rsid w:val="007E66E2"/>
    <w:rsid w:val="007E6E1A"/>
    <w:rsid w:val="007F140A"/>
    <w:rsid w:val="007F190F"/>
    <w:rsid w:val="007F1B7A"/>
    <w:rsid w:val="007F1CDD"/>
    <w:rsid w:val="007F26A9"/>
    <w:rsid w:val="007F29E6"/>
    <w:rsid w:val="007F5EBA"/>
    <w:rsid w:val="007F7A77"/>
    <w:rsid w:val="00800128"/>
    <w:rsid w:val="00800F57"/>
    <w:rsid w:val="0080165E"/>
    <w:rsid w:val="0080277D"/>
    <w:rsid w:val="00803385"/>
    <w:rsid w:val="00803989"/>
    <w:rsid w:val="008043FE"/>
    <w:rsid w:val="00804E31"/>
    <w:rsid w:val="00804EF0"/>
    <w:rsid w:val="008052FD"/>
    <w:rsid w:val="00805602"/>
    <w:rsid w:val="008062D9"/>
    <w:rsid w:val="00807856"/>
    <w:rsid w:val="00807F36"/>
    <w:rsid w:val="008131A4"/>
    <w:rsid w:val="008152E2"/>
    <w:rsid w:val="00815398"/>
    <w:rsid w:val="0081743B"/>
    <w:rsid w:val="00821105"/>
    <w:rsid w:val="00824331"/>
    <w:rsid w:val="00825EBD"/>
    <w:rsid w:val="00826588"/>
    <w:rsid w:val="00826645"/>
    <w:rsid w:val="00830057"/>
    <w:rsid w:val="00831640"/>
    <w:rsid w:val="008317E8"/>
    <w:rsid w:val="00831AF6"/>
    <w:rsid w:val="00832189"/>
    <w:rsid w:val="008334F4"/>
    <w:rsid w:val="008341E6"/>
    <w:rsid w:val="008349E2"/>
    <w:rsid w:val="00835531"/>
    <w:rsid w:val="0083561B"/>
    <w:rsid w:val="00836384"/>
    <w:rsid w:val="008364AC"/>
    <w:rsid w:val="00840DC0"/>
    <w:rsid w:val="00841A67"/>
    <w:rsid w:val="00842545"/>
    <w:rsid w:val="00842A99"/>
    <w:rsid w:val="0084351F"/>
    <w:rsid w:val="00843F39"/>
    <w:rsid w:val="00844D93"/>
    <w:rsid w:val="00844DC4"/>
    <w:rsid w:val="008453ED"/>
    <w:rsid w:val="00845CFF"/>
    <w:rsid w:val="0084652F"/>
    <w:rsid w:val="008474FE"/>
    <w:rsid w:val="00847700"/>
    <w:rsid w:val="008502B1"/>
    <w:rsid w:val="00850576"/>
    <w:rsid w:val="00851D1B"/>
    <w:rsid w:val="008561B8"/>
    <w:rsid w:val="00862BB5"/>
    <w:rsid w:val="00862D5A"/>
    <w:rsid w:val="0086381D"/>
    <w:rsid w:val="00863FE6"/>
    <w:rsid w:val="00864850"/>
    <w:rsid w:val="00864B1B"/>
    <w:rsid w:val="00865053"/>
    <w:rsid w:val="00865992"/>
    <w:rsid w:val="00866977"/>
    <w:rsid w:val="00866A0F"/>
    <w:rsid w:val="00866C3D"/>
    <w:rsid w:val="00867A25"/>
    <w:rsid w:val="008739A0"/>
    <w:rsid w:val="00874D04"/>
    <w:rsid w:val="00875554"/>
    <w:rsid w:val="00876D15"/>
    <w:rsid w:val="00876D50"/>
    <w:rsid w:val="00880FE7"/>
    <w:rsid w:val="00881A1C"/>
    <w:rsid w:val="00881C2B"/>
    <w:rsid w:val="008836E9"/>
    <w:rsid w:val="0088387A"/>
    <w:rsid w:val="00883A1E"/>
    <w:rsid w:val="00883EFC"/>
    <w:rsid w:val="00884AC8"/>
    <w:rsid w:val="00885DAD"/>
    <w:rsid w:val="0089008F"/>
    <w:rsid w:val="0089284C"/>
    <w:rsid w:val="008936A5"/>
    <w:rsid w:val="00895926"/>
    <w:rsid w:val="00895950"/>
    <w:rsid w:val="00896D6D"/>
    <w:rsid w:val="00897254"/>
    <w:rsid w:val="00897421"/>
    <w:rsid w:val="008A1582"/>
    <w:rsid w:val="008A27F7"/>
    <w:rsid w:val="008A3949"/>
    <w:rsid w:val="008A4133"/>
    <w:rsid w:val="008A46E7"/>
    <w:rsid w:val="008A494A"/>
    <w:rsid w:val="008A4DBF"/>
    <w:rsid w:val="008A5EC9"/>
    <w:rsid w:val="008A67FC"/>
    <w:rsid w:val="008A6BD9"/>
    <w:rsid w:val="008B052F"/>
    <w:rsid w:val="008B0EE5"/>
    <w:rsid w:val="008B17C8"/>
    <w:rsid w:val="008B189C"/>
    <w:rsid w:val="008B402A"/>
    <w:rsid w:val="008B4506"/>
    <w:rsid w:val="008B4ACF"/>
    <w:rsid w:val="008B4DAD"/>
    <w:rsid w:val="008B5FB4"/>
    <w:rsid w:val="008B7554"/>
    <w:rsid w:val="008C01DD"/>
    <w:rsid w:val="008C1674"/>
    <w:rsid w:val="008C18D9"/>
    <w:rsid w:val="008C1936"/>
    <w:rsid w:val="008C1C06"/>
    <w:rsid w:val="008C2A8F"/>
    <w:rsid w:val="008C37A9"/>
    <w:rsid w:val="008C4E2C"/>
    <w:rsid w:val="008C5BC5"/>
    <w:rsid w:val="008C5E53"/>
    <w:rsid w:val="008C68FF"/>
    <w:rsid w:val="008C713B"/>
    <w:rsid w:val="008C7D02"/>
    <w:rsid w:val="008D0998"/>
    <w:rsid w:val="008D1A8E"/>
    <w:rsid w:val="008D3737"/>
    <w:rsid w:val="008D3A93"/>
    <w:rsid w:val="008D52C9"/>
    <w:rsid w:val="008D66CB"/>
    <w:rsid w:val="008D72D8"/>
    <w:rsid w:val="008D757C"/>
    <w:rsid w:val="008E1889"/>
    <w:rsid w:val="008E214F"/>
    <w:rsid w:val="008E222F"/>
    <w:rsid w:val="008E2714"/>
    <w:rsid w:val="008E3327"/>
    <w:rsid w:val="008E3F9D"/>
    <w:rsid w:val="008E6B5A"/>
    <w:rsid w:val="008E6D5A"/>
    <w:rsid w:val="008F1C3C"/>
    <w:rsid w:val="008F2E28"/>
    <w:rsid w:val="008F3760"/>
    <w:rsid w:val="008F56BB"/>
    <w:rsid w:val="008F5834"/>
    <w:rsid w:val="008F595B"/>
    <w:rsid w:val="00901471"/>
    <w:rsid w:val="00902837"/>
    <w:rsid w:val="009039B6"/>
    <w:rsid w:val="00903E75"/>
    <w:rsid w:val="009059C7"/>
    <w:rsid w:val="00905FDE"/>
    <w:rsid w:val="0091180D"/>
    <w:rsid w:val="00911C44"/>
    <w:rsid w:val="009128A5"/>
    <w:rsid w:val="00912F3F"/>
    <w:rsid w:val="00912F90"/>
    <w:rsid w:val="00913105"/>
    <w:rsid w:val="00913598"/>
    <w:rsid w:val="00913B3E"/>
    <w:rsid w:val="00913F49"/>
    <w:rsid w:val="0091541B"/>
    <w:rsid w:val="00915EB3"/>
    <w:rsid w:val="009168DD"/>
    <w:rsid w:val="009172D2"/>
    <w:rsid w:val="00917681"/>
    <w:rsid w:val="00921454"/>
    <w:rsid w:val="0092163C"/>
    <w:rsid w:val="00921A5F"/>
    <w:rsid w:val="00921DDE"/>
    <w:rsid w:val="00922080"/>
    <w:rsid w:val="00923A29"/>
    <w:rsid w:val="00923BD4"/>
    <w:rsid w:val="009257C5"/>
    <w:rsid w:val="00927B9C"/>
    <w:rsid w:val="00930587"/>
    <w:rsid w:val="0093062F"/>
    <w:rsid w:val="00931824"/>
    <w:rsid w:val="00931BE7"/>
    <w:rsid w:val="009321C3"/>
    <w:rsid w:val="00932A2F"/>
    <w:rsid w:val="00933BEB"/>
    <w:rsid w:val="00933C89"/>
    <w:rsid w:val="00934028"/>
    <w:rsid w:val="00934B3F"/>
    <w:rsid w:val="00934FF4"/>
    <w:rsid w:val="009368AC"/>
    <w:rsid w:val="0093744B"/>
    <w:rsid w:val="009374D8"/>
    <w:rsid w:val="0094073A"/>
    <w:rsid w:val="009435EC"/>
    <w:rsid w:val="00943EB6"/>
    <w:rsid w:val="00943EBE"/>
    <w:rsid w:val="0094412E"/>
    <w:rsid w:val="009441C3"/>
    <w:rsid w:val="00945547"/>
    <w:rsid w:val="00946DB1"/>
    <w:rsid w:val="00947389"/>
    <w:rsid w:val="009479B1"/>
    <w:rsid w:val="0095090D"/>
    <w:rsid w:val="0095292A"/>
    <w:rsid w:val="00952CEE"/>
    <w:rsid w:val="00953254"/>
    <w:rsid w:val="00954B3E"/>
    <w:rsid w:val="00954F1A"/>
    <w:rsid w:val="00954F90"/>
    <w:rsid w:val="00955DC5"/>
    <w:rsid w:val="0095620B"/>
    <w:rsid w:val="009564BA"/>
    <w:rsid w:val="009566BB"/>
    <w:rsid w:val="0095686F"/>
    <w:rsid w:val="00957420"/>
    <w:rsid w:val="00957CB0"/>
    <w:rsid w:val="0096061E"/>
    <w:rsid w:val="00961330"/>
    <w:rsid w:val="00961F90"/>
    <w:rsid w:val="00962019"/>
    <w:rsid w:val="009644C1"/>
    <w:rsid w:val="009650DE"/>
    <w:rsid w:val="00965390"/>
    <w:rsid w:val="0096576B"/>
    <w:rsid w:val="009664AA"/>
    <w:rsid w:val="009709CB"/>
    <w:rsid w:val="0097186C"/>
    <w:rsid w:val="0097278A"/>
    <w:rsid w:val="00973838"/>
    <w:rsid w:val="00974C39"/>
    <w:rsid w:val="00974E10"/>
    <w:rsid w:val="00975B59"/>
    <w:rsid w:val="00975CF9"/>
    <w:rsid w:val="00976FAD"/>
    <w:rsid w:val="00977051"/>
    <w:rsid w:val="00980451"/>
    <w:rsid w:val="00980593"/>
    <w:rsid w:val="00981BA7"/>
    <w:rsid w:val="00981ED0"/>
    <w:rsid w:val="00985758"/>
    <w:rsid w:val="009857D0"/>
    <w:rsid w:val="00985A9F"/>
    <w:rsid w:val="00985C4C"/>
    <w:rsid w:val="00985CAB"/>
    <w:rsid w:val="00985F7D"/>
    <w:rsid w:val="00986F5C"/>
    <w:rsid w:val="0099001D"/>
    <w:rsid w:val="00992072"/>
    <w:rsid w:val="009926C4"/>
    <w:rsid w:val="0099317E"/>
    <w:rsid w:val="0099449C"/>
    <w:rsid w:val="00994F71"/>
    <w:rsid w:val="00995026"/>
    <w:rsid w:val="00995065"/>
    <w:rsid w:val="0099582D"/>
    <w:rsid w:val="00996027"/>
    <w:rsid w:val="009975BD"/>
    <w:rsid w:val="009976BB"/>
    <w:rsid w:val="009A19AA"/>
    <w:rsid w:val="009A3DC8"/>
    <w:rsid w:val="009A3E57"/>
    <w:rsid w:val="009A3E98"/>
    <w:rsid w:val="009A5F01"/>
    <w:rsid w:val="009A79F2"/>
    <w:rsid w:val="009B00EF"/>
    <w:rsid w:val="009B111D"/>
    <w:rsid w:val="009B165C"/>
    <w:rsid w:val="009B2A20"/>
    <w:rsid w:val="009B2DDD"/>
    <w:rsid w:val="009B369F"/>
    <w:rsid w:val="009B5A23"/>
    <w:rsid w:val="009B6621"/>
    <w:rsid w:val="009B74FD"/>
    <w:rsid w:val="009C332D"/>
    <w:rsid w:val="009C6BDE"/>
    <w:rsid w:val="009C6C97"/>
    <w:rsid w:val="009C6D2B"/>
    <w:rsid w:val="009C7471"/>
    <w:rsid w:val="009C7742"/>
    <w:rsid w:val="009D2594"/>
    <w:rsid w:val="009D7331"/>
    <w:rsid w:val="009D7757"/>
    <w:rsid w:val="009E046A"/>
    <w:rsid w:val="009E2094"/>
    <w:rsid w:val="009E2A80"/>
    <w:rsid w:val="009E3240"/>
    <w:rsid w:val="009E4409"/>
    <w:rsid w:val="009E596E"/>
    <w:rsid w:val="009E7A2C"/>
    <w:rsid w:val="009E7DE3"/>
    <w:rsid w:val="009F1399"/>
    <w:rsid w:val="009F1E12"/>
    <w:rsid w:val="009F20C7"/>
    <w:rsid w:val="009F32AA"/>
    <w:rsid w:val="009F36F9"/>
    <w:rsid w:val="009F4871"/>
    <w:rsid w:val="009F4E07"/>
    <w:rsid w:val="009F7FEF"/>
    <w:rsid w:val="00A006C9"/>
    <w:rsid w:val="00A0092E"/>
    <w:rsid w:val="00A04C8F"/>
    <w:rsid w:val="00A06FBD"/>
    <w:rsid w:val="00A07A9D"/>
    <w:rsid w:val="00A10B43"/>
    <w:rsid w:val="00A12B19"/>
    <w:rsid w:val="00A143A6"/>
    <w:rsid w:val="00A15152"/>
    <w:rsid w:val="00A158CE"/>
    <w:rsid w:val="00A1679E"/>
    <w:rsid w:val="00A169F7"/>
    <w:rsid w:val="00A20AB2"/>
    <w:rsid w:val="00A21005"/>
    <w:rsid w:val="00A21325"/>
    <w:rsid w:val="00A223FE"/>
    <w:rsid w:val="00A22BC1"/>
    <w:rsid w:val="00A23121"/>
    <w:rsid w:val="00A24F77"/>
    <w:rsid w:val="00A25E9B"/>
    <w:rsid w:val="00A269B1"/>
    <w:rsid w:val="00A302A2"/>
    <w:rsid w:val="00A302F5"/>
    <w:rsid w:val="00A317F7"/>
    <w:rsid w:val="00A32238"/>
    <w:rsid w:val="00A325FC"/>
    <w:rsid w:val="00A3547E"/>
    <w:rsid w:val="00A35D9E"/>
    <w:rsid w:val="00A3628E"/>
    <w:rsid w:val="00A36B76"/>
    <w:rsid w:val="00A37E93"/>
    <w:rsid w:val="00A4031D"/>
    <w:rsid w:val="00A40A05"/>
    <w:rsid w:val="00A421A6"/>
    <w:rsid w:val="00A421E4"/>
    <w:rsid w:val="00A42A20"/>
    <w:rsid w:val="00A42B1F"/>
    <w:rsid w:val="00A438BF"/>
    <w:rsid w:val="00A44ED3"/>
    <w:rsid w:val="00A51E62"/>
    <w:rsid w:val="00A545AD"/>
    <w:rsid w:val="00A55821"/>
    <w:rsid w:val="00A56BC2"/>
    <w:rsid w:val="00A6097B"/>
    <w:rsid w:val="00A60B7D"/>
    <w:rsid w:val="00A622C5"/>
    <w:rsid w:val="00A624E8"/>
    <w:rsid w:val="00A636EA"/>
    <w:rsid w:val="00A63A20"/>
    <w:rsid w:val="00A64B15"/>
    <w:rsid w:val="00A6589E"/>
    <w:rsid w:val="00A669CB"/>
    <w:rsid w:val="00A70022"/>
    <w:rsid w:val="00A70C68"/>
    <w:rsid w:val="00A71323"/>
    <w:rsid w:val="00A719C1"/>
    <w:rsid w:val="00A72895"/>
    <w:rsid w:val="00A729BE"/>
    <w:rsid w:val="00A73227"/>
    <w:rsid w:val="00A73B4C"/>
    <w:rsid w:val="00A73C3B"/>
    <w:rsid w:val="00A745AF"/>
    <w:rsid w:val="00A76509"/>
    <w:rsid w:val="00A7688C"/>
    <w:rsid w:val="00A7731C"/>
    <w:rsid w:val="00A773FE"/>
    <w:rsid w:val="00A813B0"/>
    <w:rsid w:val="00A81C27"/>
    <w:rsid w:val="00A82FC0"/>
    <w:rsid w:val="00A837EF"/>
    <w:rsid w:val="00A83C7D"/>
    <w:rsid w:val="00A86E98"/>
    <w:rsid w:val="00A90B88"/>
    <w:rsid w:val="00A92960"/>
    <w:rsid w:val="00A95D09"/>
    <w:rsid w:val="00A96355"/>
    <w:rsid w:val="00A96F73"/>
    <w:rsid w:val="00AA010F"/>
    <w:rsid w:val="00AA0A18"/>
    <w:rsid w:val="00AA36E2"/>
    <w:rsid w:val="00AB0827"/>
    <w:rsid w:val="00AB095D"/>
    <w:rsid w:val="00AB0E9E"/>
    <w:rsid w:val="00AB1B07"/>
    <w:rsid w:val="00AB2609"/>
    <w:rsid w:val="00AB34EF"/>
    <w:rsid w:val="00AB38DB"/>
    <w:rsid w:val="00AB49F3"/>
    <w:rsid w:val="00AB5209"/>
    <w:rsid w:val="00AB521A"/>
    <w:rsid w:val="00AB55B2"/>
    <w:rsid w:val="00AB5CA2"/>
    <w:rsid w:val="00AB7120"/>
    <w:rsid w:val="00AB7593"/>
    <w:rsid w:val="00AC015E"/>
    <w:rsid w:val="00AC0512"/>
    <w:rsid w:val="00AC38CB"/>
    <w:rsid w:val="00AC543E"/>
    <w:rsid w:val="00AC5AFD"/>
    <w:rsid w:val="00AC669F"/>
    <w:rsid w:val="00AC6F4E"/>
    <w:rsid w:val="00AC71EE"/>
    <w:rsid w:val="00AC7794"/>
    <w:rsid w:val="00AD064B"/>
    <w:rsid w:val="00AD0881"/>
    <w:rsid w:val="00AD10B6"/>
    <w:rsid w:val="00AD3235"/>
    <w:rsid w:val="00AD49B1"/>
    <w:rsid w:val="00AD5A1C"/>
    <w:rsid w:val="00AE06DA"/>
    <w:rsid w:val="00AE20BF"/>
    <w:rsid w:val="00AE3328"/>
    <w:rsid w:val="00AE4A75"/>
    <w:rsid w:val="00AE6D0F"/>
    <w:rsid w:val="00AE737E"/>
    <w:rsid w:val="00AE7635"/>
    <w:rsid w:val="00AE775B"/>
    <w:rsid w:val="00AE7843"/>
    <w:rsid w:val="00AF0A40"/>
    <w:rsid w:val="00AF0AFE"/>
    <w:rsid w:val="00AF10CB"/>
    <w:rsid w:val="00AF2974"/>
    <w:rsid w:val="00AF2FAF"/>
    <w:rsid w:val="00AF3773"/>
    <w:rsid w:val="00AF4C00"/>
    <w:rsid w:val="00B002D7"/>
    <w:rsid w:val="00B00C7A"/>
    <w:rsid w:val="00B01A78"/>
    <w:rsid w:val="00B01EA2"/>
    <w:rsid w:val="00B026AC"/>
    <w:rsid w:val="00B040E8"/>
    <w:rsid w:val="00B04566"/>
    <w:rsid w:val="00B0617C"/>
    <w:rsid w:val="00B07098"/>
    <w:rsid w:val="00B07232"/>
    <w:rsid w:val="00B0743B"/>
    <w:rsid w:val="00B10E9D"/>
    <w:rsid w:val="00B1126A"/>
    <w:rsid w:val="00B114F9"/>
    <w:rsid w:val="00B11795"/>
    <w:rsid w:val="00B122AB"/>
    <w:rsid w:val="00B12B1D"/>
    <w:rsid w:val="00B14E18"/>
    <w:rsid w:val="00B151E8"/>
    <w:rsid w:val="00B15F95"/>
    <w:rsid w:val="00B16079"/>
    <w:rsid w:val="00B16625"/>
    <w:rsid w:val="00B168FB"/>
    <w:rsid w:val="00B17F7E"/>
    <w:rsid w:val="00B21717"/>
    <w:rsid w:val="00B21F15"/>
    <w:rsid w:val="00B21F55"/>
    <w:rsid w:val="00B22C99"/>
    <w:rsid w:val="00B24B73"/>
    <w:rsid w:val="00B2500D"/>
    <w:rsid w:val="00B257E4"/>
    <w:rsid w:val="00B25E9A"/>
    <w:rsid w:val="00B30D6B"/>
    <w:rsid w:val="00B32A53"/>
    <w:rsid w:val="00B35A15"/>
    <w:rsid w:val="00B35E4D"/>
    <w:rsid w:val="00B37469"/>
    <w:rsid w:val="00B379D2"/>
    <w:rsid w:val="00B414DD"/>
    <w:rsid w:val="00B4215A"/>
    <w:rsid w:val="00B4263C"/>
    <w:rsid w:val="00B42FB7"/>
    <w:rsid w:val="00B43531"/>
    <w:rsid w:val="00B45E84"/>
    <w:rsid w:val="00B46BFC"/>
    <w:rsid w:val="00B5183D"/>
    <w:rsid w:val="00B52728"/>
    <w:rsid w:val="00B52AF0"/>
    <w:rsid w:val="00B5314C"/>
    <w:rsid w:val="00B57353"/>
    <w:rsid w:val="00B60459"/>
    <w:rsid w:val="00B60FDC"/>
    <w:rsid w:val="00B61A74"/>
    <w:rsid w:val="00B61F13"/>
    <w:rsid w:val="00B620D3"/>
    <w:rsid w:val="00B6330B"/>
    <w:rsid w:val="00B63E3F"/>
    <w:rsid w:val="00B63EBE"/>
    <w:rsid w:val="00B65F07"/>
    <w:rsid w:val="00B66C36"/>
    <w:rsid w:val="00B70418"/>
    <w:rsid w:val="00B710C1"/>
    <w:rsid w:val="00B71155"/>
    <w:rsid w:val="00B71FB3"/>
    <w:rsid w:val="00B724B6"/>
    <w:rsid w:val="00B72AA5"/>
    <w:rsid w:val="00B735C4"/>
    <w:rsid w:val="00B748FF"/>
    <w:rsid w:val="00B75079"/>
    <w:rsid w:val="00B75E5D"/>
    <w:rsid w:val="00B76168"/>
    <w:rsid w:val="00B81508"/>
    <w:rsid w:val="00B81B30"/>
    <w:rsid w:val="00B822F7"/>
    <w:rsid w:val="00B830A9"/>
    <w:rsid w:val="00B83B47"/>
    <w:rsid w:val="00B84B9B"/>
    <w:rsid w:val="00B856A9"/>
    <w:rsid w:val="00B85B44"/>
    <w:rsid w:val="00B909B3"/>
    <w:rsid w:val="00B90F13"/>
    <w:rsid w:val="00B910C9"/>
    <w:rsid w:val="00B9158B"/>
    <w:rsid w:val="00B91F7F"/>
    <w:rsid w:val="00B9366A"/>
    <w:rsid w:val="00B94DCB"/>
    <w:rsid w:val="00B95B53"/>
    <w:rsid w:val="00B95CB4"/>
    <w:rsid w:val="00B96B2C"/>
    <w:rsid w:val="00BA0D74"/>
    <w:rsid w:val="00BA4830"/>
    <w:rsid w:val="00BA60AE"/>
    <w:rsid w:val="00BA62C8"/>
    <w:rsid w:val="00BA7A51"/>
    <w:rsid w:val="00BB0C71"/>
    <w:rsid w:val="00BB2430"/>
    <w:rsid w:val="00BB299A"/>
    <w:rsid w:val="00BB3191"/>
    <w:rsid w:val="00BB3BCE"/>
    <w:rsid w:val="00BB6E13"/>
    <w:rsid w:val="00BB7B12"/>
    <w:rsid w:val="00BC0117"/>
    <w:rsid w:val="00BC0CA6"/>
    <w:rsid w:val="00BC0E0D"/>
    <w:rsid w:val="00BC1528"/>
    <w:rsid w:val="00BC1751"/>
    <w:rsid w:val="00BC1960"/>
    <w:rsid w:val="00BC2280"/>
    <w:rsid w:val="00BC34E5"/>
    <w:rsid w:val="00BC3BA7"/>
    <w:rsid w:val="00BC51B5"/>
    <w:rsid w:val="00BD1101"/>
    <w:rsid w:val="00BD134C"/>
    <w:rsid w:val="00BD35F9"/>
    <w:rsid w:val="00BD392A"/>
    <w:rsid w:val="00BD50B0"/>
    <w:rsid w:val="00BD54D5"/>
    <w:rsid w:val="00BD58C2"/>
    <w:rsid w:val="00BE0158"/>
    <w:rsid w:val="00BE0CB0"/>
    <w:rsid w:val="00BE1414"/>
    <w:rsid w:val="00BE3F23"/>
    <w:rsid w:val="00BE6FBC"/>
    <w:rsid w:val="00BE78C6"/>
    <w:rsid w:val="00BE7ABB"/>
    <w:rsid w:val="00BF17E9"/>
    <w:rsid w:val="00BF3579"/>
    <w:rsid w:val="00BF58DD"/>
    <w:rsid w:val="00BF66F3"/>
    <w:rsid w:val="00BF76A9"/>
    <w:rsid w:val="00C002FF"/>
    <w:rsid w:val="00C00CFC"/>
    <w:rsid w:val="00C01A5F"/>
    <w:rsid w:val="00C01BE8"/>
    <w:rsid w:val="00C0286E"/>
    <w:rsid w:val="00C035A5"/>
    <w:rsid w:val="00C0451B"/>
    <w:rsid w:val="00C05099"/>
    <w:rsid w:val="00C0549D"/>
    <w:rsid w:val="00C0610F"/>
    <w:rsid w:val="00C06222"/>
    <w:rsid w:val="00C071A1"/>
    <w:rsid w:val="00C10EB2"/>
    <w:rsid w:val="00C139C3"/>
    <w:rsid w:val="00C150CA"/>
    <w:rsid w:val="00C15195"/>
    <w:rsid w:val="00C153C0"/>
    <w:rsid w:val="00C15A29"/>
    <w:rsid w:val="00C17881"/>
    <w:rsid w:val="00C20516"/>
    <w:rsid w:val="00C20665"/>
    <w:rsid w:val="00C20C81"/>
    <w:rsid w:val="00C2160D"/>
    <w:rsid w:val="00C22A5C"/>
    <w:rsid w:val="00C25D35"/>
    <w:rsid w:val="00C27692"/>
    <w:rsid w:val="00C277B6"/>
    <w:rsid w:val="00C30688"/>
    <w:rsid w:val="00C30950"/>
    <w:rsid w:val="00C31579"/>
    <w:rsid w:val="00C31884"/>
    <w:rsid w:val="00C3284F"/>
    <w:rsid w:val="00C32E80"/>
    <w:rsid w:val="00C33CEB"/>
    <w:rsid w:val="00C35053"/>
    <w:rsid w:val="00C35811"/>
    <w:rsid w:val="00C37A0A"/>
    <w:rsid w:val="00C401BC"/>
    <w:rsid w:val="00C40445"/>
    <w:rsid w:val="00C43D81"/>
    <w:rsid w:val="00C453B4"/>
    <w:rsid w:val="00C45E9C"/>
    <w:rsid w:val="00C50209"/>
    <w:rsid w:val="00C50D15"/>
    <w:rsid w:val="00C52313"/>
    <w:rsid w:val="00C52864"/>
    <w:rsid w:val="00C52B27"/>
    <w:rsid w:val="00C5304B"/>
    <w:rsid w:val="00C53B18"/>
    <w:rsid w:val="00C54694"/>
    <w:rsid w:val="00C57A50"/>
    <w:rsid w:val="00C57C69"/>
    <w:rsid w:val="00C57CEE"/>
    <w:rsid w:val="00C57EB3"/>
    <w:rsid w:val="00C61669"/>
    <w:rsid w:val="00C61AE5"/>
    <w:rsid w:val="00C62240"/>
    <w:rsid w:val="00C62298"/>
    <w:rsid w:val="00C63E10"/>
    <w:rsid w:val="00C6698D"/>
    <w:rsid w:val="00C6763E"/>
    <w:rsid w:val="00C67CC9"/>
    <w:rsid w:val="00C70B02"/>
    <w:rsid w:val="00C7135E"/>
    <w:rsid w:val="00C719AC"/>
    <w:rsid w:val="00C732BF"/>
    <w:rsid w:val="00C739A6"/>
    <w:rsid w:val="00C74A9C"/>
    <w:rsid w:val="00C74EC8"/>
    <w:rsid w:val="00C75332"/>
    <w:rsid w:val="00C757AC"/>
    <w:rsid w:val="00C7697F"/>
    <w:rsid w:val="00C776F1"/>
    <w:rsid w:val="00C77D35"/>
    <w:rsid w:val="00C81D46"/>
    <w:rsid w:val="00C8527F"/>
    <w:rsid w:val="00C871D1"/>
    <w:rsid w:val="00C936F5"/>
    <w:rsid w:val="00C946A2"/>
    <w:rsid w:val="00C947D8"/>
    <w:rsid w:val="00C94E5E"/>
    <w:rsid w:val="00C964D6"/>
    <w:rsid w:val="00C97C05"/>
    <w:rsid w:val="00CA1566"/>
    <w:rsid w:val="00CA1581"/>
    <w:rsid w:val="00CA5929"/>
    <w:rsid w:val="00CA5DA8"/>
    <w:rsid w:val="00CA60C6"/>
    <w:rsid w:val="00CA6306"/>
    <w:rsid w:val="00CA731A"/>
    <w:rsid w:val="00CA7601"/>
    <w:rsid w:val="00CB0378"/>
    <w:rsid w:val="00CB36D2"/>
    <w:rsid w:val="00CB3B5E"/>
    <w:rsid w:val="00CB4326"/>
    <w:rsid w:val="00CB4602"/>
    <w:rsid w:val="00CB4E71"/>
    <w:rsid w:val="00CB5885"/>
    <w:rsid w:val="00CB5B28"/>
    <w:rsid w:val="00CB6797"/>
    <w:rsid w:val="00CB79F7"/>
    <w:rsid w:val="00CC1809"/>
    <w:rsid w:val="00CC2075"/>
    <w:rsid w:val="00CC2261"/>
    <w:rsid w:val="00CC2328"/>
    <w:rsid w:val="00CC2443"/>
    <w:rsid w:val="00CC4B5E"/>
    <w:rsid w:val="00CC4F3C"/>
    <w:rsid w:val="00CC684A"/>
    <w:rsid w:val="00CD2749"/>
    <w:rsid w:val="00CD2A17"/>
    <w:rsid w:val="00CD3634"/>
    <w:rsid w:val="00CD384A"/>
    <w:rsid w:val="00CD39CC"/>
    <w:rsid w:val="00CD57C6"/>
    <w:rsid w:val="00CD5A58"/>
    <w:rsid w:val="00CD6EC9"/>
    <w:rsid w:val="00CD7E2A"/>
    <w:rsid w:val="00CE041C"/>
    <w:rsid w:val="00CE0903"/>
    <w:rsid w:val="00CE245E"/>
    <w:rsid w:val="00CE2B6C"/>
    <w:rsid w:val="00CE2B9E"/>
    <w:rsid w:val="00CE3A0A"/>
    <w:rsid w:val="00CE4461"/>
    <w:rsid w:val="00CE5753"/>
    <w:rsid w:val="00CE5E42"/>
    <w:rsid w:val="00CE770D"/>
    <w:rsid w:val="00CF02B4"/>
    <w:rsid w:val="00CF157B"/>
    <w:rsid w:val="00CF3122"/>
    <w:rsid w:val="00CF3568"/>
    <w:rsid w:val="00CF4437"/>
    <w:rsid w:val="00CF478A"/>
    <w:rsid w:val="00CF4CFA"/>
    <w:rsid w:val="00CF56CF"/>
    <w:rsid w:val="00CF6604"/>
    <w:rsid w:val="00CF72AA"/>
    <w:rsid w:val="00CF7AF1"/>
    <w:rsid w:val="00D0092D"/>
    <w:rsid w:val="00D00FC2"/>
    <w:rsid w:val="00D039A9"/>
    <w:rsid w:val="00D03DFC"/>
    <w:rsid w:val="00D04803"/>
    <w:rsid w:val="00D05F2C"/>
    <w:rsid w:val="00D06789"/>
    <w:rsid w:val="00D0687A"/>
    <w:rsid w:val="00D06C44"/>
    <w:rsid w:val="00D10D18"/>
    <w:rsid w:val="00D115DB"/>
    <w:rsid w:val="00D1227F"/>
    <w:rsid w:val="00D17481"/>
    <w:rsid w:val="00D17741"/>
    <w:rsid w:val="00D20F9B"/>
    <w:rsid w:val="00D21CCF"/>
    <w:rsid w:val="00D21E44"/>
    <w:rsid w:val="00D226EE"/>
    <w:rsid w:val="00D236C9"/>
    <w:rsid w:val="00D24123"/>
    <w:rsid w:val="00D244A6"/>
    <w:rsid w:val="00D24AF7"/>
    <w:rsid w:val="00D26F88"/>
    <w:rsid w:val="00D27503"/>
    <w:rsid w:val="00D305DF"/>
    <w:rsid w:val="00D33FFC"/>
    <w:rsid w:val="00D36307"/>
    <w:rsid w:val="00D3721A"/>
    <w:rsid w:val="00D3766F"/>
    <w:rsid w:val="00D378C5"/>
    <w:rsid w:val="00D416E6"/>
    <w:rsid w:val="00D4300D"/>
    <w:rsid w:val="00D43352"/>
    <w:rsid w:val="00D4465C"/>
    <w:rsid w:val="00D471E8"/>
    <w:rsid w:val="00D47792"/>
    <w:rsid w:val="00D47CBC"/>
    <w:rsid w:val="00D47D90"/>
    <w:rsid w:val="00D513A7"/>
    <w:rsid w:val="00D51F93"/>
    <w:rsid w:val="00D5397D"/>
    <w:rsid w:val="00D5426C"/>
    <w:rsid w:val="00D54833"/>
    <w:rsid w:val="00D56C05"/>
    <w:rsid w:val="00D56E5C"/>
    <w:rsid w:val="00D575A4"/>
    <w:rsid w:val="00D61251"/>
    <w:rsid w:val="00D61BAC"/>
    <w:rsid w:val="00D6296E"/>
    <w:rsid w:val="00D630EB"/>
    <w:rsid w:val="00D63636"/>
    <w:rsid w:val="00D6383F"/>
    <w:rsid w:val="00D638D0"/>
    <w:rsid w:val="00D657E0"/>
    <w:rsid w:val="00D65B08"/>
    <w:rsid w:val="00D65FFB"/>
    <w:rsid w:val="00D663FF"/>
    <w:rsid w:val="00D67BFA"/>
    <w:rsid w:val="00D67CAA"/>
    <w:rsid w:val="00D70557"/>
    <w:rsid w:val="00D70C89"/>
    <w:rsid w:val="00D70D30"/>
    <w:rsid w:val="00D71CDA"/>
    <w:rsid w:val="00D72F74"/>
    <w:rsid w:val="00D743C7"/>
    <w:rsid w:val="00D752A5"/>
    <w:rsid w:val="00D7764D"/>
    <w:rsid w:val="00D77880"/>
    <w:rsid w:val="00D77EA7"/>
    <w:rsid w:val="00D8288F"/>
    <w:rsid w:val="00D83280"/>
    <w:rsid w:val="00D85395"/>
    <w:rsid w:val="00D86242"/>
    <w:rsid w:val="00D873E8"/>
    <w:rsid w:val="00D87955"/>
    <w:rsid w:val="00D87CF8"/>
    <w:rsid w:val="00D90138"/>
    <w:rsid w:val="00D91797"/>
    <w:rsid w:val="00D92382"/>
    <w:rsid w:val="00D92B2C"/>
    <w:rsid w:val="00D9479A"/>
    <w:rsid w:val="00D95368"/>
    <w:rsid w:val="00DA1AFE"/>
    <w:rsid w:val="00DA28C5"/>
    <w:rsid w:val="00DA2B2E"/>
    <w:rsid w:val="00DA3870"/>
    <w:rsid w:val="00DA5F17"/>
    <w:rsid w:val="00DA66D7"/>
    <w:rsid w:val="00DA6F95"/>
    <w:rsid w:val="00DA7891"/>
    <w:rsid w:val="00DA7911"/>
    <w:rsid w:val="00DA7924"/>
    <w:rsid w:val="00DA7A66"/>
    <w:rsid w:val="00DB045C"/>
    <w:rsid w:val="00DB1217"/>
    <w:rsid w:val="00DB17CB"/>
    <w:rsid w:val="00DB1C5D"/>
    <w:rsid w:val="00DB237B"/>
    <w:rsid w:val="00DB2386"/>
    <w:rsid w:val="00DB28F5"/>
    <w:rsid w:val="00DB2A23"/>
    <w:rsid w:val="00DB3B3B"/>
    <w:rsid w:val="00DB4AB1"/>
    <w:rsid w:val="00DB4C70"/>
    <w:rsid w:val="00DB64AD"/>
    <w:rsid w:val="00DB66E2"/>
    <w:rsid w:val="00DB67D4"/>
    <w:rsid w:val="00DC0B0B"/>
    <w:rsid w:val="00DC130A"/>
    <w:rsid w:val="00DC1C4D"/>
    <w:rsid w:val="00DC2DE3"/>
    <w:rsid w:val="00DC2E15"/>
    <w:rsid w:val="00DC6517"/>
    <w:rsid w:val="00DC737C"/>
    <w:rsid w:val="00DD0BDA"/>
    <w:rsid w:val="00DD1675"/>
    <w:rsid w:val="00DD2F50"/>
    <w:rsid w:val="00DD41A4"/>
    <w:rsid w:val="00DD624D"/>
    <w:rsid w:val="00DD6889"/>
    <w:rsid w:val="00DD6BD6"/>
    <w:rsid w:val="00DE022B"/>
    <w:rsid w:val="00DE2436"/>
    <w:rsid w:val="00DE3C15"/>
    <w:rsid w:val="00DE6195"/>
    <w:rsid w:val="00DE6993"/>
    <w:rsid w:val="00DE7F45"/>
    <w:rsid w:val="00DF05DD"/>
    <w:rsid w:val="00DF0712"/>
    <w:rsid w:val="00DF1C45"/>
    <w:rsid w:val="00DF1FA7"/>
    <w:rsid w:val="00DF3344"/>
    <w:rsid w:val="00DF3D71"/>
    <w:rsid w:val="00DF43AF"/>
    <w:rsid w:val="00DF47B6"/>
    <w:rsid w:val="00DF67CB"/>
    <w:rsid w:val="00DF72BD"/>
    <w:rsid w:val="00E04177"/>
    <w:rsid w:val="00E04263"/>
    <w:rsid w:val="00E05D31"/>
    <w:rsid w:val="00E074B8"/>
    <w:rsid w:val="00E0780C"/>
    <w:rsid w:val="00E101E2"/>
    <w:rsid w:val="00E1208E"/>
    <w:rsid w:val="00E12609"/>
    <w:rsid w:val="00E13BF1"/>
    <w:rsid w:val="00E140F2"/>
    <w:rsid w:val="00E14A08"/>
    <w:rsid w:val="00E14F45"/>
    <w:rsid w:val="00E16DB7"/>
    <w:rsid w:val="00E17CF3"/>
    <w:rsid w:val="00E204AC"/>
    <w:rsid w:val="00E20F09"/>
    <w:rsid w:val="00E21DB3"/>
    <w:rsid w:val="00E22A5A"/>
    <w:rsid w:val="00E2408D"/>
    <w:rsid w:val="00E249BD"/>
    <w:rsid w:val="00E24B08"/>
    <w:rsid w:val="00E24C51"/>
    <w:rsid w:val="00E24D6C"/>
    <w:rsid w:val="00E26287"/>
    <w:rsid w:val="00E271A3"/>
    <w:rsid w:val="00E302B0"/>
    <w:rsid w:val="00E306FE"/>
    <w:rsid w:val="00E30DC8"/>
    <w:rsid w:val="00E31774"/>
    <w:rsid w:val="00E31F3A"/>
    <w:rsid w:val="00E33F51"/>
    <w:rsid w:val="00E34AC2"/>
    <w:rsid w:val="00E353F4"/>
    <w:rsid w:val="00E369C1"/>
    <w:rsid w:val="00E37C1C"/>
    <w:rsid w:val="00E400D3"/>
    <w:rsid w:val="00E405A1"/>
    <w:rsid w:val="00E40C14"/>
    <w:rsid w:val="00E40E81"/>
    <w:rsid w:val="00E41E48"/>
    <w:rsid w:val="00E42975"/>
    <w:rsid w:val="00E4377E"/>
    <w:rsid w:val="00E4381F"/>
    <w:rsid w:val="00E43CF7"/>
    <w:rsid w:val="00E45876"/>
    <w:rsid w:val="00E468B1"/>
    <w:rsid w:val="00E46B76"/>
    <w:rsid w:val="00E47235"/>
    <w:rsid w:val="00E51DD5"/>
    <w:rsid w:val="00E551CB"/>
    <w:rsid w:val="00E55DD6"/>
    <w:rsid w:val="00E606BA"/>
    <w:rsid w:val="00E61585"/>
    <w:rsid w:val="00E616B8"/>
    <w:rsid w:val="00E62585"/>
    <w:rsid w:val="00E6275A"/>
    <w:rsid w:val="00E62EB3"/>
    <w:rsid w:val="00E63F05"/>
    <w:rsid w:val="00E67991"/>
    <w:rsid w:val="00E70462"/>
    <w:rsid w:val="00E70548"/>
    <w:rsid w:val="00E70A88"/>
    <w:rsid w:val="00E70C2F"/>
    <w:rsid w:val="00E72287"/>
    <w:rsid w:val="00E72A0C"/>
    <w:rsid w:val="00E73142"/>
    <w:rsid w:val="00E73209"/>
    <w:rsid w:val="00E73308"/>
    <w:rsid w:val="00E7423E"/>
    <w:rsid w:val="00E74A3B"/>
    <w:rsid w:val="00E74DF3"/>
    <w:rsid w:val="00E753E7"/>
    <w:rsid w:val="00E75D00"/>
    <w:rsid w:val="00E760A6"/>
    <w:rsid w:val="00E762F8"/>
    <w:rsid w:val="00E76773"/>
    <w:rsid w:val="00E7678B"/>
    <w:rsid w:val="00E76B7A"/>
    <w:rsid w:val="00E803DA"/>
    <w:rsid w:val="00E82051"/>
    <w:rsid w:val="00E827D7"/>
    <w:rsid w:val="00E8285B"/>
    <w:rsid w:val="00E83175"/>
    <w:rsid w:val="00E83770"/>
    <w:rsid w:val="00E83BDA"/>
    <w:rsid w:val="00E8545D"/>
    <w:rsid w:val="00E8620D"/>
    <w:rsid w:val="00E86E66"/>
    <w:rsid w:val="00E8743D"/>
    <w:rsid w:val="00E91395"/>
    <w:rsid w:val="00E918E5"/>
    <w:rsid w:val="00E921ED"/>
    <w:rsid w:val="00E9246B"/>
    <w:rsid w:val="00E93AC3"/>
    <w:rsid w:val="00E94B50"/>
    <w:rsid w:val="00E96A55"/>
    <w:rsid w:val="00EA253F"/>
    <w:rsid w:val="00EA2CB8"/>
    <w:rsid w:val="00EA2EB7"/>
    <w:rsid w:val="00EA3ECF"/>
    <w:rsid w:val="00EA40C5"/>
    <w:rsid w:val="00EA47FF"/>
    <w:rsid w:val="00EB011E"/>
    <w:rsid w:val="00EB16B7"/>
    <w:rsid w:val="00EB207F"/>
    <w:rsid w:val="00EB3DF0"/>
    <w:rsid w:val="00EB6040"/>
    <w:rsid w:val="00EB75B7"/>
    <w:rsid w:val="00EC0A5E"/>
    <w:rsid w:val="00EC0C51"/>
    <w:rsid w:val="00EC14B1"/>
    <w:rsid w:val="00EC4BD8"/>
    <w:rsid w:val="00EC4D3B"/>
    <w:rsid w:val="00EC5486"/>
    <w:rsid w:val="00EC6330"/>
    <w:rsid w:val="00EC6385"/>
    <w:rsid w:val="00EC71C8"/>
    <w:rsid w:val="00ED18A3"/>
    <w:rsid w:val="00ED2344"/>
    <w:rsid w:val="00ED2A37"/>
    <w:rsid w:val="00ED2FFA"/>
    <w:rsid w:val="00ED4763"/>
    <w:rsid w:val="00ED57DA"/>
    <w:rsid w:val="00ED6679"/>
    <w:rsid w:val="00EE001E"/>
    <w:rsid w:val="00EE0A2A"/>
    <w:rsid w:val="00EE1510"/>
    <w:rsid w:val="00EE1D52"/>
    <w:rsid w:val="00EE21FC"/>
    <w:rsid w:val="00EE3412"/>
    <w:rsid w:val="00EE3A42"/>
    <w:rsid w:val="00EE3AE1"/>
    <w:rsid w:val="00EE55F8"/>
    <w:rsid w:val="00EE5718"/>
    <w:rsid w:val="00EE6C67"/>
    <w:rsid w:val="00EF071E"/>
    <w:rsid w:val="00EF195F"/>
    <w:rsid w:val="00EF36A7"/>
    <w:rsid w:val="00EF4AF8"/>
    <w:rsid w:val="00EF5742"/>
    <w:rsid w:val="00EF574D"/>
    <w:rsid w:val="00EF6C3A"/>
    <w:rsid w:val="00EF6F93"/>
    <w:rsid w:val="00EF70D0"/>
    <w:rsid w:val="00F01BF9"/>
    <w:rsid w:val="00F01E5A"/>
    <w:rsid w:val="00F04C17"/>
    <w:rsid w:val="00F04C6A"/>
    <w:rsid w:val="00F07CBE"/>
    <w:rsid w:val="00F10F4E"/>
    <w:rsid w:val="00F11A43"/>
    <w:rsid w:val="00F11C58"/>
    <w:rsid w:val="00F15A85"/>
    <w:rsid w:val="00F1632A"/>
    <w:rsid w:val="00F17942"/>
    <w:rsid w:val="00F1798F"/>
    <w:rsid w:val="00F2028C"/>
    <w:rsid w:val="00F2134F"/>
    <w:rsid w:val="00F222FB"/>
    <w:rsid w:val="00F229BC"/>
    <w:rsid w:val="00F23346"/>
    <w:rsid w:val="00F2499C"/>
    <w:rsid w:val="00F24EEE"/>
    <w:rsid w:val="00F250F7"/>
    <w:rsid w:val="00F26E03"/>
    <w:rsid w:val="00F303B8"/>
    <w:rsid w:val="00F3090A"/>
    <w:rsid w:val="00F358CA"/>
    <w:rsid w:val="00F36DB2"/>
    <w:rsid w:val="00F372A3"/>
    <w:rsid w:val="00F402E8"/>
    <w:rsid w:val="00F4293D"/>
    <w:rsid w:val="00F42FAF"/>
    <w:rsid w:val="00F449A8"/>
    <w:rsid w:val="00F45577"/>
    <w:rsid w:val="00F46FBB"/>
    <w:rsid w:val="00F47370"/>
    <w:rsid w:val="00F47C1A"/>
    <w:rsid w:val="00F53B95"/>
    <w:rsid w:val="00F5611F"/>
    <w:rsid w:val="00F56247"/>
    <w:rsid w:val="00F6053A"/>
    <w:rsid w:val="00F6101B"/>
    <w:rsid w:val="00F61246"/>
    <w:rsid w:val="00F64D6B"/>
    <w:rsid w:val="00F64E3B"/>
    <w:rsid w:val="00F67E68"/>
    <w:rsid w:val="00F70C30"/>
    <w:rsid w:val="00F713E0"/>
    <w:rsid w:val="00F72209"/>
    <w:rsid w:val="00F7228D"/>
    <w:rsid w:val="00F72CCB"/>
    <w:rsid w:val="00F733E6"/>
    <w:rsid w:val="00F73F66"/>
    <w:rsid w:val="00F7502D"/>
    <w:rsid w:val="00F7609E"/>
    <w:rsid w:val="00F809C0"/>
    <w:rsid w:val="00F82808"/>
    <w:rsid w:val="00F82C95"/>
    <w:rsid w:val="00F82FC0"/>
    <w:rsid w:val="00F83AC5"/>
    <w:rsid w:val="00F83FC1"/>
    <w:rsid w:val="00F8524C"/>
    <w:rsid w:val="00F863E6"/>
    <w:rsid w:val="00F900F1"/>
    <w:rsid w:val="00F90AEF"/>
    <w:rsid w:val="00F90BC0"/>
    <w:rsid w:val="00F9105A"/>
    <w:rsid w:val="00F91143"/>
    <w:rsid w:val="00F92A3B"/>
    <w:rsid w:val="00F93674"/>
    <w:rsid w:val="00F959F0"/>
    <w:rsid w:val="00F95BCC"/>
    <w:rsid w:val="00F96F81"/>
    <w:rsid w:val="00F9793E"/>
    <w:rsid w:val="00FA29FD"/>
    <w:rsid w:val="00FA3116"/>
    <w:rsid w:val="00FA373F"/>
    <w:rsid w:val="00FA4BFD"/>
    <w:rsid w:val="00FA4F29"/>
    <w:rsid w:val="00FA5770"/>
    <w:rsid w:val="00FA70AF"/>
    <w:rsid w:val="00FA7A2A"/>
    <w:rsid w:val="00FB1ED8"/>
    <w:rsid w:val="00FB2550"/>
    <w:rsid w:val="00FB269D"/>
    <w:rsid w:val="00FB3C33"/>
    <w:rsid w:val="00FB4300"/>
    <w:rsid w:val="00FB4886"/>
    <w:rsid w:val="00FB5E94"/>
    <w:rsid w:val="00FB638D"/>
    <w:rsid w:val="00FB709D"/>
    <w:rsid w:val="00FC12BE"/>
    <w:rsid w:val="00FC2065"/>
    <w:rsid w:val="00FC23A6"/>
    <w:rsid w:val="00FC413A"/>
    <w:rsid w:val="00FC5659"/>
    <w:rsid w:val="00FC745E"/>
    <w:rsid w:val="00FD087F"/>
    <w:rsid w:val="00FD0AD4"/>
    <w:rsid w:val="00FD10A2"/>
    <w:rsid w:val="00FD1790"/>
    <w:rsid w:val="00FD252D"/>
    <w:rsid w:val="00FD358C"/>
    <w:rsid w:val="00FD43C8"/>
    <w:rsid w:val="00FD4997"/>
    <w:rsid w:val="00FD580B"/>
    <w:rsid w:val="00FE1DA8"/>
    <w:rsid w:val="00FE3B18"/>
    <w:rsid w:val="00FE5066"/>
    <w:rsid w:val="00FE52AF"/>
    <w:rsid w:val="00FE5BF1"/>
    <w:rsid w:val="00FE6E86"/>
    <w:rsid w:val="00FF1753"/>
    <w:rsid w:val="00FF26BD"/>
    <w:rsid w:val="00FF284A"/>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1356BDAF-DD23-468B-979D-76F61E43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BE0158"/>
    <w:pPr>
      <w:spacing w:before="100" w:beforeAutospacing="1" w:after="100" w:afterAutospacing="1"/>
    </w:pPr>
    <w:rPr>
      <w:lang w:val="ro-MD" w:eastAsia="ro-MD"/>
      <w14:ligatures w14:val="standardContextual"/>
    </w:rPr>
  </w:style>
  <w:style w:type="character" w:styleId="PlaceholderText">
    <w:name w:val="Placeholder Text"/>
    <w:basedOn w:val="DefaultParagraphFont"/>
    <w:uiPriority w:val="99"/>
    <w:semiHidden/>
    <w:rsid w:val="008453ED"/>
    <w:rPr>
      <w:color w:val="808080"/>
    </w:rPr>
  </w:style>
  <w:style w:type="character" w:customStyle="1" w:styleId="subscript">
    <w:name w:val="subscript"/>
    <w:basedOn w:val="DefaultParagraphFont"/>
    <w:rsid w:val="006F667E"/>
  </w:style>
  <w:style w:type="paragraph" w:customStyle="1" w:styleId="title-table">
    <w:name w:val="title-table"/>
    <w:basedOn w:val="Normal"/>
    <w:rsid w:val="006F667E"/>
    <w:pPr>
      <w:spacing w:before="100" w:beforeAutospacing="1" w:after="100" w:afterAutospacing="1"/>
    </w:pPr>
    <w:rPr>
      <w:lang w:val="ro-MD" w:eastAsia="ro-MD"/>
      <w14:ligatures w14:val="standardContextual"/>
    </w:rPr>
  </w:style>
  <w:style w:type="paragraph" w:customStyle="1" w:styleId="tbl-norm">
    <w:name w:val="tbl-norm"/>
    <w:basedOn w:val="Normal"/>
    <w:rsid w:val="006F667E"/>
    <w:pPr>
      <w:spacing w:before="100" w:beforeAutospacing="1" w:after="100" w:afterAutospacing="1"/>
    </w:pPr>
    <w:rPr>
      <w:lang w:val="ro-MD" w:eastAsia="ro-MD"/>
      <w14:ligatures w14:val="standardContextual"/>
    </w:rPr>
  </w:style>
  <w:style w:type="paragraph" w:customStyle="1" w:styleId="title-article-norm">
    <w:name w:val="title-article-norm"/>
    <w:basedOn w:val="Normal"/>
    <w:rsid w:val="006F667E"/>
    <w:pPr>
      <w:spacing w:before="100" w:beforeAutospacing="1" w:after="100" w:afterAutospacing="1"/>
    </w:pPr>
    <w:rPr>
      <w:lang w:val="ro-MD" w:eastAsia="ro-MD"/>
      <w14:ligatures w14:val="standardContextual"/>
    </w:rPr>
  </w:style>
  <w:style w:type="paragraph" w:customStyle="1" w:styleId="dlist-term">
    <w:name w:val="dlist-term"/>
    <w:basedOn w:val="Normal"/>
    <w:rsid w:val="006F667E"/>
    <w:pPr>
      <w:spacing w:before="100" w:beforeAutospacing="1" w:after="100" w:afterAutospacing="1"/>
    </w:pPr>
    <w:rPr>
      <w:lang w:val="ro-MD" w:eastAsia="ro-M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2608">
      <w:bodyDiv w:val="1"/>
      <w:marLeft w:val="0"/>
      <w:marRight w:val="0"/>
      <w:marTop w:val="0"/>
      <w:marBottom w:val="0"/>
      <w:divBdr>
        <w:top w:val="none" w:sz="0" w:space="0" w:color="auto"/>
        <w:left w:val="none" w:sz="0" w:space="0" w:color="auto"/>
        <w:bottom w:val="none" w:sz="0" w:space="0" w:color="auto"/>
        <w:right w:val="none" w:sz="0" w:space="0" w:color="auto"/>
      </w:divBdr>
    </w:div>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 w:id="152262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4.xml><?xml version="1.0" encoding="utf-8"?>
<titus xmlns="http://schemas.titus.com/TitusProperties/">
  <TitusGUID xmlns="">fb7d9dae-0167-49d7-864f-68b392b7c860</TitusGUID>
  <TitusMetadata xmlns="">eyJucyI6IioiLCJwcm9wcyI6W3sibiI6IkNsYXNpZmljYXJlIiwidmFscyI6W3sidmFsdWUiOiJOT05FIn1dfV19</TitusMetadata>
</titu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3.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4.xml><?xml version="1.0" encoding="utf-8"?>
<ds:datastoreItem xmlns:ds="http://schemas.openxmlformats.org/officeDocument/2006/customXml" ds:itemID="{F1F42337-4177-4711-A623-26D912CD93E1}">
  <ds:schemaRefs>
    <ds:schemaRef ds:uri="http://schemas.titus.com/TitusProperties/"/>
    <ds:schemaRef ds:uri=""/>
  </ds:schemaRefs>
</ds:datastoreItem>
</file>

<file path=customXml/itemProps5.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12750</Words>
  <Characters>73955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2026-03-04T16:25:00Z</cp:lastPrinted>
  <dcterms:created xsi:type="dcterms:W3CDTF">2026-03-04T16:26:00Z</dcterms:created>
  <dcterms:modified xsi:type="dcterms:W3CDTF">2026-03-04T16:26:00Z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